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70CB9" w14:textId="12B2045F" w:rsidR="003D5C68" w:rsidRDefault="007675B7" w:rsidP="00E75255">
      <w:pPr>
        <w:jc w:val="both"/>
        <w:rPr>
          <w:rFonts w:asciiTheme="majorBidi" w:hAnsiTheme="majorBidi" w:cstheme="majorBidi"/>
          <w:b/>
          <w:bCs/>
          <w:sz w:val="24"/>
          <w:szCs w:val="24"/>
        </w:rPr>
      </w:pPr>
      <w:bookmarkStart w:id="0" w:name="_Toc400533322"/>
      <w:bookmarkStart w:id="1" w:name="_GoBack"/>
      <w:bookmarkEnd w:id="1"/>
      <w:r>
        <w:rPr>
          <w:rFonts w:asciiTheme="majorBidi" w:hAnsiTheme="majorBidi" w:cstheme="majorBidi"/>
          <w:b/>
          <w:bCs/>
          <w:sz w:val="24"/>
          <w:szCs w:val="24"/>
        </w:rPr>
        <w:t xml:space="preserve">   </w:t>
      </w:r>
    </w:p>
    <w:p w14:paraId="198FD75F" w14:textId="77777777" w:rsidR="003D5C68" w:rsidRDefault="003D5C68" w:rsidP="00E75255">
      <w:pPr>
        <w:jc w:val="both"/>
        <w:rPr>
          <w:rFonts w:asciiTheme="majorBidi" w:hAnsiTheme="majorBidi" w:cstheme="majorBidi"/>
          <w:b/>
          <w:bCs/>
          <w:sz w:val="24"/>
          <w:szCs w:val="24"/>
        </w:rPr>
      </w:pPr>
      <w:r>
        <w:rPr>
          <w:rFonts w:asciiTheme="majorBidi" w:hAnsiTheme="majorBidi" w:cstheme="majorBidi"/>
          <w:b/>
          <w:bCs/>
          <w:noProof/>
          <w:sz w:val="24"/>
          <w:szCs w:val="24"/>
        </w:rPr>
        <w:t xml:space="preserve">                                           </w:t>
      </w:r>
      <w:r>
        <w:rPr>
          <w:rFonts w:asciiTheme="majorBidi" w:hAnsiTheme="majorBidi" w:cstheme="majorBidi"/>
          <w:b/>
          <w:bCs/>
          <w:noProof/>
          <w:sz w:val="24"/>
          <w:szCs w:val="24"/>
        </w:rPr>
        <w:drawing>
          <wp:anchor distT="0" distB="0" distL="114300" distR="114300" simplePos="0" relativeHeight="251658240" behindDoc="0" locked="0" layoutInCell="1" allowOverlap="1" wp14:anchorId="6A7C4F44" wp14:editId="3DF9E28F">
            <wp:simplePos x="0" y="0"/>
            <wp:positionH relativeFrom="margin">
              <wp:align>center</wp:align>
            </wp:positionH>
            <wp:positionV relativeFrom="margin">
              <wp:align>top</wp:align>
            </wp:positionV>
            <wp:extent cx="1828800" cy="1828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pic:spPr>
                </pic:pic>
              </a:graphicData>
            </a:graphic>
            <wp14:sizeRelH relativeFrom="page">
              <wp14:pctWidth>0</wp14:pctWidth>
            </wp14:sizeRelH>
            <wp14:sizeRelV relativeFrom="page">
              <wp14:pctHeight>0</wp14:pctHeight>
            </wp14:sizeRelV>
          </wp:anchor>
        </w:drawing>
      </w:r>
    </w:p>
    <w:p w14:paraId="3E4619E6" w14:textId="77777777" w:rsidR="00E75255" w:rsidRDefault="00E75255" w:rsidP="00E75255">
      <w:pPr>
        <w:jc w:val="center"/>
        <w:rPr>
          <w:rFonts w:asciiTheme="majorBidi" w:hAnsiTheme="majorBidi" w:cstheme="majorBidi"/>
          <w:b/>
          <w:bCs/>
          <w:sz w:val="40"/>
          <w:szCs w:val="40"/>
        </w:rPr>
      </w:pPr>
    </w:p>
    <w:p w14:paraId="225C63D9" w14:textId="77777777" w:rsidR="00E75255" w:rsidRDefault="00E75255" w:rsidP="00E75255">
      <w:pPr>
        <w:jc w:val="center"/>
        <w:rPr>
          <w:rFonts w:asciiTheme="majorBidi" w:hAnsiTheme="majorBidi" w:cstheme="majorBidi"/>
          <w:b/>
          <w:bCs/>
          <w:sz w:val="40"/>
          <w:szCs w:val="40"/>
        </w:rPr>
      </w:pPr>
    </w:p>
    <w:p w14:paraId="4D6F46C3" w14:textId="77777777" w:rsidR="00E75255" w:rsidRDefault="00E75255" w:rsidP="00E75255">
      <w:pPr>
        <w:jc w:val="center"/>
        <w:rPr>
          <w:rFonts w:asciiTheme="majorBidi" w:hAnsiTheme="majorBidi" w:cstheme="majorBidi"/>
          <w:b/>
          <w:bCs/>
          <w:sz w:val="40"/>
          <w:szCs w:val="40"/>
        </w:rPr>
      </w:pPr>
    </w:p>
    <w:p w14:paraId="40FA72E4" w14:textId="77777777" w:rsidR="00E75255" w:rsidRDefault="00E75255" w:rsidP="00E75255">
      <w:pPr>
        <w:jc w:val="center"/>
        <w:rPr>
          <w:rFonts w:asciiTheme="majorBidi" w:hAnsiTheme="majorBidi" w:cstheme="majorBidi"/>
          <w:b/>
          <w:bCs/>
          <w:sz w:val="40"/>
          <w:szCs w:val="40"/>
        </w:rPr>
      </w:pPr>
    </w:p>
    <w:p w14:paraId="63167CAD" w14:textId="77777777" w:rsidR="003D5C68" w:rsidRDefault="003D5C68" w:rsidP="00E75255">
      <w:pPr>
        <w:jc w:val="center"/>
        <w:rPr>
          <w:rFonts w:asciiTheme="majorBidi" w:hAnsiTheme="majorBidi" w:cstheme="majorBidi"/>
          <w:b/>
          <w:bCs/>
          <w:sz w:val="28"/>
          <w:szCs w:val="28"/>
        </w:rPr>
      </w:pPr>
      <w:r w:rsidRPr="009B3EDF">
        <w:rPr>
          <w:rFonts w:asciiTheme="majorBidi" w:hAnsiTheme="majorBidi" w:cstheme="majorBidi"/>
          <w:b/>
          <w:bCs/>
          <w:sz w:val="40"/>
          <w:szCs w:val="40"/>
        </w:rPr>
        <w:t>Fuel Consumption/Economy Trends in LAS countries:</w:t>
      </w:r>
    </w:p>
    <w:p w14:paraId="70B9EF9B" w14:textId="77777777" w:rsidR="003D5C68" w:rsidRPr="009B3EDF" w:rsidRDefault="003D5C68" w:rsidP="00E75255">
      <w:pPr>
        <w:jc w:val="center"/>
        <w:rPr>
          <w:rFonts w:asciiTheme="majorBidi" w:hAnsiTheme="majorBidi" w:cstheme="majorBidi"/>
          <w:b/>
          <w:bCs/>
          <w:sz w:val="40"/>
          <w:szCs w:val="40"/>
        </w:rPr>
      </w:pPr>
      <w:r>
        <w:rPr>
          <w:rFonts w:asciiTheme="majorBidi" w:hAnsiTheme="majorBidi" w:cstheme="majorBidi"/>
          <w:b/>
          <w:bCs/>
          <w:sz w:val="28"/>
          <w:szCs w:val="28"/>
        </w:rPr>
        <w:t>The Moroccan Case Study</w:t>
      </w:r>
    </w:p>
    <w:p w14:paraId="282A09B1" w14:textId="77777777" w:rsidR="003D5C68" w:rsidRDefault="003D5C68" w:rsidP="00E75255">
      <w:pPr>
        <w:jc w:val="center"/>
        <w:rPr>
          <w:rFonts w:asciiTheme="majorBidi" w:hAnsiTheme="majorBidi" w:cstheme="majorBidi"/>
          <w:b/>
          <w:bCs/>
          <w:sz w:val="24"/>
          <w:szCs w:val="24"/>
        </w:rPr>
      </w:pPr>
    </w:p>
    <w:p w14:paraId="6FC292DB" w14:textId="77777777" w:rsidR="003D5C68" w:rsidRDefault="003D5C68" w:rsidP="00E75255">
      <w:pPr>
        <w:jc w:val="center"/>
        <w:rPr>
          <w:rFonts w:asciiTheme="majorBidi" w:hAnsiTheme="majorBidi" w:cstheme="majorBidi"/>
          <w:b/>
          <w:bCs/>
          <w:sz w:val="24"/>
          <w:szCs w:val="24"/>
        </w:rPr>
      </w:pPr>
      <w:r>
        <w:rPr>
          <w:rFonts w:asciiTheme="majorBidi" w:hAnsiTheme="majorBidi" w:cstheme="majorBidi"/>
          <w:b/>
          <w:bCs/>
          <w:sz w:val="24"/>
          <w:szCs w:val="24"/>
        </w:rPr>
        <w:t>Author</w:t>
      </w:r>
    </w:p>
    <w:p w14:paraId="525E6795" w14:textId="0AB8AC61" w:rsidR="007675B7" w:rsidRPr="00561041" w:rsidRDefault="007675B7" w:rsidP="00E75255">
      <w:pPr>
        <w:jc w:val="center"/>
        <w:rPr>
          <w:rFonts w:asciiTheme="majorBidi" w:hAnsiTheme="majorBidi" w:cstheme="majorBidi"/>
          <w:sz w:val="24"/>
          <w:szCs w:val="24"/>
        </w:rPr>
      </w:pPr>
      <w:r w:rsidRPr="00561041">
        <w:rPr>
          <w:rFonts w:asciiTheme="majorBidi" w:hAnsiTheme="majorBidi" w:cstheme="majorBidi"/>
          <w:sz w:val="24"/>
          <w:szCs w:val="24"/>
        </w:rPr>
        <w:t>Amr El-Abyad</w:t>
      </w:r>
    </w:p>
    <w:p w14:paraId="1688C74F" w14:textId="77777777" w:rsidR="003D5C68" w:rsidRDefault="003D5C68" w:rsidP="00E75255">
      <w:pPr>
        <w:jc w:val="center"/>
        <w:rPr>
          <w:rFonts w:asciiTheme="majorBidi" w:hAnsiTheme="majorBidi" w:cstheme="majorBidi"/>
          <w:b/>
          <w:bCs/>
          <w:sz w:val="24"/>
          <w:szCs w:val="24"/>
        </w:rPr>
      </w:pPr>
      <w:r>
        <w:rPr>
          <w:rFonts w:asciiTheme="majorBidi" w:hAnsiTheme="majorBidi" w:cstheme="majorBidi"/>
          <w:b/>
          <w:bCs/>
          <w:sz w:val="24"/>
          <w:szCs w:val="24"/>
        </w:rPr>
        <w:t>Contributors</w:t>
      </w:r>
    </w:p>
    <w:p w14:paraId="1852DCF8" w14:textId="77777777" w:rsidR="003D5C68" w:rsidRPr="009B3EDF" w:rsidRDefault="003D5C68" w:rsidP="00E75255">
      <w:pPr>
        <w:jc w:val="center"/>
        <w:rPr>
          <w:rFonts w:asciiTheme="majorBidi" w:hAnsiTheme="majorBidi" w:cstheme="majorBidi"/>
          <w:sz w:val="24"/>
          <w:szCs w:val="24"/>
        </w:rPr>
      </w:pPr>
      <w:r w:rsidRPr="009B3EDF">
        <w:rPr>
          <w:rFonts w:asciiTheme="majorBidi" w:hAnsiTheme="majorBidi" w:cstheme="majorBidi"/>
          <w:sz w:val="24"/>
          <w:szCs w:val="24"/>
        </w:rPr>
        <w:t>Hossam Allam</w:t>
      </w:r>
    </w:p>
    <w:p w14:paraId="3DF3E392" w14:textId="77777777" w:rsidR="003D5C68" w:rsidRDefault="003D5C68" w:rsidP="00E75255">
      <w:pPr>
        <w:jc w:val="center"/>
        <w:rPr>
          <w:rFonts w:asciiTheme="majorBidi" w:hAnsiTheme="majorBidi" w:cstheme="majorBidi"/>
          <w:sz w:val="24"/>
          <w:szCs w:val="24"/>
        </w:rPr>
      </w:pPr>
      <w:r w:rsidRPr="009B3EDF">
        <w:rPr>
          <w:rFonts w:asciiTheme="majorBidi" w:hAnsiTheme="majorBidi" w:cstheme="majorBidi"/>
          <w:sz w:val="24"/>
          <w:szCs w:val="24"/>
        </w:rPr>
        <w:t>Matthias Gasnier</w:t>
      </w:r>
    </w:p>
    <w:p w14:paraId="506E2AD6" w14:textId="77777777" w:rsidR="003D5C68" w:rsidRPr="009B3EDF" w:rsidRDefault="003D5C68" w:rsidP="00E75255">
      <w:pPr>
        <w:jc w:val="center"/>
        <w:rPr>
          <w:rFonts w:asciiTheme="majorBidi" w:hAnsiTheme="majorBidi" w:cstheme="majorBidi"/>
          <w:b/>
          <w:bCs/>
          <w:sz w:val="28"/>
          <w:szCs w:val="28"/>
        </w:rPr>
      </w:pPr>
    </w:p>
    <w:p w14:paraId="2D6E2291" w14:textId="77777777" w:rsidR="00E75255" w:rsidRDefault="00E75255" w:rsidP="00E75255">
      <w:pPr>
        <w:jc w:val="center"/>
        <w:rPr>
          <w:rFonts w:asciiTheme="majorBidi" w:hAnsiTheme="majorBidi" w:cstheme="majorBidi"/>
          <w:b/>
          <w:bCs/>
          <w:sz w:val="28"/>
          <w:szCs w:val="28"/>
        </w:rPr>
      </w:pPr>
    </w:p>
    <w:p w14:paraId="7530F1CF" w14:textId="77777777" w:rsidR="00E75255" w:rsidRDefault="00E75255" w:rsidP="00E75255">
      <w:pPr>
        <w:jc w:val="center"/>
        <w:rPr>
          <w:rFonts w:asciiTheme="majorBidi" w:hAnsiTheme="majorBidi" w:cstheme="majorBidi"/>
          <w:b/>
          <w:bCs/>
          <w:sz w:val="28"/>
          <w:szCs w:val="28"/>
        </w:rPr>
      </w:pPr>
      <w:r>
        <w:rPr>
          <w:rFonts w:asciiTheme="majorBidi" w:hAnsiTheme="majorBidi" w:cstheme="majorBidi"/>
          <w:b/>
          <w:bCs/>
          <w:sz w:val="28"/>
          <w:szCs w:val="28"/>
        </w:rPr>
        <w:t>Nov 2014</w:t>
      </w:r>
    </w:p>
    <w:p w14:paraId="71B989EF" w14:textId="77777777" w:rsidR="00E75255" w:rsidRDefault="00E75255" w:rsidP="00E75255">
      <w:pPr>
        <w:jc w:val="center"/>
        <w:rPr>
          <w:rFonts w:asciiTheme="majorBidi" w:hAnsiTheme="majorBidi" w:cstheme="majorBidi"/>
          <w:b/>
          <w:bCs/>
          <w:sz w:val="28"/>
          <w:szCs w:val="28"/>
        </w:rPr>
      </w:pPr>
    </w:p>
    <w:p w14:paraId="75ED79DA" w14:textId="77777777" w:rsidR="00E75255" w:rsidRDefault="00F768A7" w:rsidP="00E75255">
      <w:pPr>
        <w:jc w:val="center"/>
        <w:rPr>
          <w:rFonts w:asciiTheme="majorBidi" w:hAnsiTheme="majorBidi" w:cstheme="majorBidi"/>
          <w:b/>
          <w:bCs/>
          <w:sz w:val="28"/>
          <w:szCs w:val="28"/>
        </w:rPr>
      </w:pPr>
      <w:r>
        <w:rPr>
          <w:rFonts w:asciiTheme="majorBidi" w:hAnsiTheme="majorBidi" w:cstheme="majorBidi"/>
          <w:b/>
          <w:bCs/>
          <w:sz w:val="28"/>
          <w:szCs w:val="28"/>
        </w:rPr>
        <w:t>Draft Version 1.0</w:t>
      </w:r>
    </w:p>
    <w:p w14:paraId="32688CEB" w14:textId="77777777" w:rsidR="00E75255" w:rsidRDefault="00E75255" w:rsidP="00E75255">
      <w:pPr>
        <w:jc w:val="center"/>
        <w:rPr>
          <w:rFonts w:asciiTheme="majorBidi" w:hAnsiTheme="majorBidi" w:cstheme="majorBidi"/>
          <w:b/>
          <w:bCs/>
          <w:sz w:val="28"/>
          <w:szCs w:val="28"/>
        </w:rPr>
      </w:pPr>
    </w:p>
    <w:p w14:paraId="6FF2DC6C" w14:textId="77777777" w:rsidR="003D5C68" w:rsidRDefault="003D5C68" w:rsidP="00E75255">
      <w:pPr>
        <w:jc w:val="center"/>
        <w:rPr>
          <w:rFonts w:asciiTheme="majorBidi" w:hAnsiTheme="majorBidi" w:cstheme="majorBidi"/>
          <w:b/>
          <w:bCs/>
          <w:sz w:val="24"/>
          <w:szCs w:val="24"/>
        </w:rPr>
      </w:pPr>
      <w:r w:rsidRPr="009B3EDF">
        <w:rPr>
          <w:rFonts w:asciiTheme="majorBidi" w:hAnsiTheme="majorBidi" w:cstheme="majorBidi"/>
          <w:b/>
          <w:bCs/>
          <w:sz w:val="28"/>
          <w:szCs w:val="28"/>
        </w:rPr>
        <w:t xml:space="preserve">Center for Environment and Development </w:t>
      </w:r>
      <w:r>
        <w:rPr>
          <w:rFonts w:asciiTheme="majorBidi" w:hAnsiTheme="majorBidi" w:cstheme="majorBidi"/>
          <w:b/>
          <w:bCs/>
          <w:sz w:val="28"/>
          <w:szCs w:val="28"/>
        </w:rPr>
        <w:t>f</w:t>
      </w:r>
      <w:r w:rsidRPr="009B3EDF">
        <w:rPr>
          <w:rFonts w:asciiTheme="majorBidi" w:hAnsiTheme="majorBidi" w:cstheme="majorBidi"/>
          <w:b/>
          <w:bCs/>
          <w:sz w:val="28"/>
          <w:szCs w:val="28"/>
        </w:rPr>
        <w:t>or the Arab Region and Europe</w:t>
      </w:r>
      <w:r>
        <w:rPr>
          <w:rFonts w:asciiTheme="majorBidi" w:hAnsiTheme="majorBidi" w:cstheme="majorBidi"/>
          <w:b/>
          <w:bCs/>
          <w:sz w:val="28"/>
          <w:szCs w:val="28"/>
        </w:rPr>
        <w:t xml:space="preserve"> (CEDARE)</w:t>
      </w:r>
      <w:r>
        <w:rPr>
          <w:rFonts w:asciiTheme="majorBidi" w:hAnsiTheme="majorBidi" w:cstheme="majorBidi"/>
          <w:b/>
          <w:bCs/>
          <w:sz w:val="24"/>
          <w:szCs w:val="24"/>
        </w:rPr>
        <w:br w:type="page"/>
      </w:r>
    </w:p>
    <w:p w14:paraId="52FF1F42" w14:textId="77777777" w:rsidR="003B672D" w:rsidRDefault="003B672D" w:rsidP="00E75255">
      <w:pPr>
        <w:jc w:val="both"/>
        <w:rPr>
          <w:rFonts w:asciiTheme="majorHAnsi" w:eastAsiaTheme="majorEastAsia" w:hAnsiTheme="majorHAnsi" w:cstheme="majorBidi"/>
          <w:color w:val="365F91" w:themeColor="accent1" w:themeShade="BF"/>
          <w:sz w:val="28"/>
          <w:szCs w:val="28"/>
          <w:lang w:eastAsia="ja-JP"/>
        </w:rPr>
      </w:pPr>
    </w:p>
    <w:sdt>
      <w:sdtPr>
        <w:rPr>
          <w:rFonts w:asciiTheme="minorHAnsi" w:eastAsiaTheme="minorHAnsi" w:hAnsiTheme="minorHAnsi" w:cstheme="minorBidi"/>
          <w:b w:val="0"/>
          <w:bCs w:val="0"/>
          <w:color w:val="auto"/>
          <w:sz w:val="22"/>
          <w:szCs w:val="22"/>
          <w:lang w:eastAsia="en-US"/>
        </w:rPr>
        <w:id w:val="442731728"/>
        <w:docPartObj>
          <w:docPartGallery w:val="Table of Contents"/>
          <w:docPartUnique/>
        </w:docPartObj>
      </w:sdtPr>
      <w:sdtEndPr>
        <w:rPr>
          <w:noProof/>
        </w:rPr>
      </w:sdtEndPr>
      <w:sdtContent>
        <w:p w14:paraId="205F02EA" w14:textId="77777777" w:rsidR="003B672D" w:rsidRDefault="003B672D">
          <w:pPr>
            <w:pStyle w:val="TOCHeading"/>
          </w:pPr>
          <w:r>
            <w:t>Table of Contents</w:t>
          </w:r>
        </w:p>
        <w:p w14:paraId="77FF9FF9" w14:textId="77777777" w:rsidR="003B672D" w:rsidRDefault="003B672D" w:rsidP="00E75255">
          <w:pPr>
            <w:pStyle w:val="TOC1"/>
            <w:rPr>
              <w:rFonts w:eastAsiaTheme="minorEastAsia"/>
              <w:noProof/>
            </w:rPr>
          </w:pPr>
          <w:r>
            <w:fldChar w:fldCharType="begin"/>
          </w:r>
          <w:r>
            <w:instrText xml:space="preserve"> TOC \o "1-3" \h \z \u </w:instrText>
          </w:r>
          <w:r>
            <w:fldChar w:fldCharType="separate"/>
          </w:r>
          <w:hyperlink w:anchor="_Toc402703195" w:history="1">
            <w:r w:rsidRPr="00AD49ED">
              <w:rPr>
                <w:rStyle w:val="Hyperlink"/>
                <w:noProof/>
              </w:rPr>
              <w:t>1</w:t>
            </w:r>
            <w:r>
              <w:rPr>
                <w:rFonts w:eastAsiaTheme="minorEastAsia"/>
                <w:noProof/>
              </w:rPr>
              <w:tab/>
            </w:r>
            <w:r w:rsidRPr="00AD49ED">
              <w:rPr>
                <w:rStyle w:val="Hyperlink"/>
                <w:noProof/>
              </w:rPr>
              <w:t>Introduction.</w:t>
            </w:r>
            <w:r>
              <w:rPr>
                <w:noProof/>
                <w:webHidden/>
              </w:rPr>
              <w:tab/>
            </w:r>
            <w:r>
              <w:rPr>
                <w:noProof/>
                <w:webHidden/>
              </w:rPr>
              <w:fldChar w:fldCharType="begin"/>
            </w:r>
            <w:r>
              <w:rPr>
                <w:noProof/>
                <w:webHidden/>
              </w:rPr>
              <w:instrText xml:space="preserve"> PAGEREF _Toc402703195 \h </w:instrText>
            </w:r>
            <w:r>
              <w:rPr>
                <w:noProof/>
                <w:webHidden/>
              </w:rPr>
            </w:r>
            <w:r>
              <w:rPr>
                <w:noProof/>
                <w:webHidden/>
              </w:rPr>
              <w:fldChar w:fldCharType="separate"/>
            </w:r>
            <w:r w:rsidR="00E75255">
              <w:rPr>
                <w:noProof/>
                <w:webHidden/>
              </w:rPr>
              <w:t>2</w:t>
            </w:r>
            <w:r>
              <w:rPr>
                <w:noProof/>
                <w:webHidden/>
              </w:rPr>
              <w:fldChar w:fldCharType="end"/>
            </w:r>
          </w:hyperlink>
        </w:p>
        <w:p w14:paraId="24A912E9" w14:textId="77777777" w:rsidR="003B672D" w:rsidRDefault="003D4928" w:rsidP="00E75255">
          <w:pPr>
            <w:pStyle w:val="TOC2"/>
            <w:tabs>
              <w:tab w:val="left" w:pos="880"/>
              <w:tab w:val="right" w:leader="dot" w:pos="9350"/>
            </w:tabs>
            <w:jc w:val="both"/>
            <w:rPr>
              <w:rFonts w:eastAsiaTheme="minorEastAsia"/>
              <w:noProof/>
            </w:rPr>
          </w:pPr>
          <w:hyperlink w:anchor="_Toc402703196" w:history="1">
            <w:r w:rsidR="003B672D" w:rsidRPr="00AD49ED">
              <w:rPr>
                <w:rStyle w:val="Hyperlink"/>
                <w:noProof/>
              </w:rPr>
              <w:t>1.1</w:t>
            </w:r>
            <w:r w:rsidR="003B672D">
              <w:rPr>
                <w:rFonts w:eastAsiaTheme="minorEastAsia"/>
                <w:noProof/>
              </w:rPr>
              <w:tab/>
            </w:r>
            <w:r w:rsidR="003B672D" w:rsidRPr="00AD49ED">
              <w:rPr>
                <w:rStyle w:val="Hyperlink"/>
                <w:noProof/>
              </w:rPr>
              <w:t>Objectives</w:t>
            </w:r>
            <w:r w:rsidR="003B672D">
              <w:rPr>
                <w:noProof/>
                <w:webHidden/>
              </w:rPr>
              <w:tab/>
            </w:r>
            <w:r w:rsidR="003B672D">
              <w:rPr>
                <w:noProof/>
                <w:webHidden/>
              </w:rPr>
              <w:fldChar w:fldCharType="begin"/>
            </w:r>
            <w:r w:rsidR="003B672D">
              <w:rPr>
                <w:noProof/>
                <w:webHidden/>
              </w:rPr>
              <w:instrText xml:space="preserve"> PAGEREF _Toc402703196 \h </w:instrText>
            </w:r>
            <w:r w:rsidR="003B672D">
              <w:rPr>
                <w:noProof/>
                <w:webHidden/>
              </w:rPr>
            </w:r>
            <w:r w:rsidR="003B672D">
              <w:rPr>
                <w:noProof/>
                <w:webHidden/>
              </w:rPr>
              <w:fldChar w:fldCharType="separate"/>
            </w:r>
            <w:r w:rsidR="00E75255">
              <w:rPr>
                <w:noProof/>
                <w:webHidden/>
              </w:rPr>
              <w:t>2</w:t>
            </w:r>
            <w:r w:rsidR="003B672D">
              <w:rPr>
                <w:noProof/>
                <w:webHidden/>
              </w:rPr>
              <w:fldChar w:fldCharType="end"/>
            </w:r>
          </w:hyperlink>
        </w:p>
        <w:p w14:paraId="05474D70" w14:textId="77777777" w:rsidR="003B672D" w:rsidRDefault="003D4928" w:rsidP="00E75255">
          <w:pPr>
            <w:pStyle w:val="TOC2"/>
            <w:tabs>
              <w:tab w:val="left" w:pos="880"/>
              <w:tab w:val="right" w:leader="dot" w:pos="9350"/>
            </w:tabs>
            <w:jc w:val="both"/>
            <w:rPr>
              <w:rFonts w:eastAsiaTheme="minorEastAsia"/>
              <w:noProof/>
            </w:rPr>
          </w:pPr>
          <w:hyperlink w:anchor="_Toc402703197" w:history="1">
            <w:r w:rsidR="003B672D" w:rsidRPr="00AD49ED">
              <w:rPr>
                <w:rStyle w:val="Hyperlink"/>
                <w:noProof/>
              </w:rPr>
              <w:t>1.2</w:t>
            </w:r>
            <w:r w:rsidR="003B672D">
              <w:rPr>
                <w:rFonts w:eastAsiaTheme="minorEastAsia"/>
                <w:noProof/>
              </w:rPr>
              <w:tab/>
            </w:r>
            <w:r w:rsidR="003B672D" w:rsidRPr="00AD49ED">
              <w:rPr>
                <w:rStyle w:val="Hyperlink"/>
                <w:noProof/>
              </w:rPr>
              <w:t>Approach</w:t>
            </w:r>
            <w:r w:rsidR="003B672D">
              <w:rPr>
                <w:noProof/>
                <w:webHidden/>
              </w:rPr>
              <w:tab/>
            </w:r>
            <w:r w:rsidR="003B672D">
              <w:rPr>
                <w:noProof/>
                <w:webHidden/>
              </w:rPr>
              <w:fldChar w:fldCharType="begin"/>
            </w:r>
            <w:r w:rsidR="003B672D">
              <w:rPr>
                <w:noProof/>
                <w:webHidden/>
              </w:rPr>
              <w:instrText xml:space="preserve"> PAGEREF _Toc402703197 \h </w:instrText>
            </w:r>
            <w:r w:rsidR="003B672D">
              <w:rPr>
                <w:noProof/>
                <w:webHidden/>
              </w:rPr>
            </w:r>
            <w:r w:rsidR="003B672D">
              <w:rPr>
                <w:noProof/>
                <w:webHidden/>
              </w:rPr>
              <w:fldChar w:fldCharType="separate"/>
            </w:r>
            <w:r w:rsidR="00E75255">
              <w:rPr>
                <w:noProof/>
                <w:webHidden/>
              </w:rPr>
              <w:t>2</w:t>
            </w:r>
            <w:r w:rsidR="003B672D">
              <w:rPr>
                <w:noProof/>
                <w:webHidden/>
              </w:rPr>
              <w:fldChar w:fldCharType="end"/>
            </w:r>
          </w:hyperlink>
        </w:p>
        <w:p w14:paraId="1B727E88" w14:textId="77777777" w:rsidR="003B672D" w:rsidRDefault="003D4928" w:rsidP="00E75255">
          <w:pPr>
            <w:pStyle w:val="TOC2"/>
            <w:tabs>
              <w:tab w:val="left" w:pos="880"/>
              <w:tab w:val="right" w:leader="dot" w:pos="9350"/>
            </w:tabs>
            <w:jc w:val="both"/>
            <w:rPr>
              <w:rFonts w:eastAsiaTheme="minorEastAsia"/>
              <w:noProof/>
            </w:rPr>
          </w:pPr>
          <w:hyperlink w:anchor="_Toc402703198" w:history="1">
            <w:r w:rsidR="003B672D" w:rsidRPr="00AD49ED">
              <w:rPr>
                <w:rStyle w:val="Hyperlink"/>
                <w:noProof/>
              </w:rPr>
              <w:t>1.3</w:t>
            </w:r>
            <w:r w:rsidR="003B672D">
              <w:rPr>
                <w:rFonts w:eastAsiaTheme="minorEastAsia"/>
                <w:noProof/>
              </w:rPr>
              <w:tab/>
            </w:r>
            <w:r w:rsidR="003B672D" w:rsidRPr="00AD49ED">
              <w:rPr>
                <w:rStyle w:val="Hyperlink"/>
                <w:noProof/>
              </w:rPr>
              <w:t>Limitations</w:t>
            </w:r>
            <w:r w:rsidR="003B672D">
              <w:rPr>
                <w:noProof/>
                <w:webHidden/>
              </w:rPr>
              <w:tab/>
            </w:r>
            <w:r w:rsidR="003B672D">
              <w:rPr>
                <w:noProof/>
                <w:webHidden/>
              </w:rPr>
              <w:fldChar w:fldCharType="begin"/>
            </w:r>
            <w:r w:rsidR="003B672D">
              <w:rPr>
                <w:noProof/>
                <w:webHidden/>
              </w:rPr>
              <w:instrText xml:space="preserve"> PAGEREF _Toc402703198 \h </w:instrText>
            </w:r>
            <w:r w:rsidR="003B672D">
              <w:rPr>
                <w:noProof/>
                <w:webHidden/>
              </w:rPr>
            </w:r>
            <w:r w:rsidR="003B672D">
              <w:rPr>
                <w:noProof/>
                <w:webHidden/>
              </w:rPr>
              <w:fldChar w:fldCharType="separate"/>
            </w:r>
            <w:r w:rsidR="00E75255">
              <w:rPr>
                <w:noProof/>
                <w:webHidden/>
              </w:rPr>
              <w:t>4</w:t>
            </w:r>
            <w:r w:rsidR="003B672D">
              <w:rPr>
                <w:noProof/>
                <w:webHidden/>
              </w:rPr>
              <w:fldChar w:fldCharType="end"/>
            </w:r>
          </w:hyperlink>
        </w:p>
        <w:p w14:paraId="126CEDC4" w14:textId="77777777" w:rsidR="003B672D" w:rsidRDefault="003D4928" w:rsidP="00E75255">
          <w:pPr>
            <w:pStyle w:val="TOC1"/>
            <w:rPr>
              <w:rFonts w:eastAsiaTheme="minorEastAsia"/>
              <w:noProof/>
            </w:rPr>
          </w:pPr>
          <w:hyperlink w:anchor="_Toc402703199" w:history="1">
            <w:r w:rsidR="003B672D" w:rsidRPr="00AD49ED">
              <w:rPr>
                <w:rStyle w:val="Hyperlink"/>
                <w:noProof/>
              </w:rPr>
              <w:t>2</w:t>
            </w:r>
            <w:r w:rsidR="003B672D">
              <w:rPr>
                <w:rFonts w:eastAsiaTheme="minorEastAsia"/>
                <w:noProof/>
              </w:rPr>
              <w:tab/>
            </w:r>
            <w:r w:rsidR="003B672D" w:rsidRPr="00AD49ED">
              <w:rPr>
                <w:rStyle w:val="Hyperlink"/>
                <w:noProof/>
              </w:rPr>
              <w:t>Background information</w:t>
            </w:r>
            <w:r w:rsidR="003B672D">
              <w:rPr>
                <w:noProof/>
                <w:webHidden/>
              </w:rPr>
              <w:tab/>
            </w:r>
            <w:r w:rsidR="003B672D">
              <w:rPr>
                <w:noProof/>
                <w:webHidden/>
              </w:rPr>
              <w:fldChar w:fldCharType="begin"/>
            </w:r>
            <w:r w:rsidR="003B672D">
              <w:rPr>
                <w:noProof/>
                <w:webHidden/>
              </w:rPr>
              <w:instrText xml:space="preserve"> PAGEREF _Toc402703199 \h </w:instrText>
            </w:r>
            <w:r w:rsidR="003B672D">
              <w:rPr>
                <w:noProof/>
                <w:webHidden/>
              </w:rPr>
            </w:r>
            <w:r w:rsidR="003B672D">
              <w:rPr>
                <w:noProof/>
                <w:webHidden/>
              </w:rPr>
              <w:fldChar w:fldCharType="separate"/>
            </w:r>
            <w:r w:rsidR="00E75255">
              <w:rPr>
                <w:noProof/>
                <w:webHidden/>
              </w:rPr>
              <w:t>5</w:t>
            </w:r>
            <w:r w:rsidR="003B672D">
              <w:rPr>
                <w:noProof/>
                <w:webHidden/>
              </w:rPr>
              <w:fldChar w:fldCharType="end"/>
            </w:r>
          </w:hyperlink>
        </w:p>
        <w:p w14:paraId="77EA412E" w14:textId="77777777" w:rsidR="003B672D" w:rsidRDefault="003D4928" w:rsidP="00E75255">
          <w:pPr>
            <w:pStyle w:val="TOC2"/>
            <w:tabs>
              <w:tab w:val="left" w:pos="880"/>
              <w:tab w:val="right" w:leader="dot" w:pos="9350"/>
            </w:tabs>
            <w:jc w:val="both"/>
            <w:rPr>
              <w:rFonts w:eastAsiaTheme="minorEastAsia"/>
              <w:noProof/>
            </w:rPr>
          </w:pPr>
          <w:hyperlink w:anchor="_Toc402703200" w:history="1">
            <w:r w:rsidR="003B672D" w:rsidRPr="00AD49ED">
              <w:rPr>
                <w:rStyle w:val="Hyperlink"/>
                <w:noProof/>
              </w:rPr>
              <w:t>2.1</w:t>
            </w:r>
            <w:r w:rsidR="003B672D">
              <w:rPr>
                <w:rFonts w:eastAsiaTheme="minorEastAsia"/>
                <w:noProof/>
              </w:rPr>
              <w:tab/>
            </w:r>
            <w:r w:rsidR="003B672D" w:rsidRPr="00AD49ED">
              <w:rPr>
                <w:rStyle w:val="Hyperlink"/>
                <w:noProof/>
              </w:rPr>
              <w:t>Fuel Economy</w:t>
            </w:r>
            <w:r w:rsidR="003B672D">
              <w:rPr>
                <w:noProof/>
                <w:webHidden/>
              </w:rPr>
              <w:tab/>
            </w:r>
            <w:r w:rsidR="003B672D">
              <w:rPr>
                <w:noProof/>
                <w:webHidden/>
              </w:rPr>
              <w:fldChar w:fldCharType="begin"/>
            </w:r>
            <w:r w:rsidR="003B672D">
              <w:rPr>
                <w:noProof/>
                <w:webHidden/>
              </w:rPr>
              <w:instrText xml:space="preserve"> PAGEREF _Toc402703200 \h </w:instrText>
            </w:r>
            <w:r w:rsidR="003B672D">
              <w:rPr>
                <w:noProof/>
                <w:webHidden/>
              </w:rPr>
            </w:r>
            <w:r w:rsidR="003B672D">
              <w:rPr>
                <w:noProof/>
                <w:webHidden/>
              </w:rPr>
              <w:fldChar w:fldCharType="separate"/>
            </w:r>
            <w:r w:rsidR="00E75255">
              <w:rPr>
                <w:noProof/>
                <w:webHidden/>
              </w:rPr>
              <w:t>5</w:t>
            </w:r>
            <w:r w:rsidR="003B672D">
              <w:rPr>
                <w:noProof/>
                <w:webHidden/>
              </w:rPr>
              <w:fldChar w:fldCharType="end"/>
            </w:r>
          </w:hyperlink>
        </w:p>
        <w:p w14:paraId="70D37EC3" w14:textId="77777777" w:rsidR="003B672D" w:rsidRDefault="003D4928" w:rsidP="00E75255">
          <w:pPr>
            <w:pStyle w:val="TOC2"/>
            <w:tabs>
              <w:tab w:val="left" w:pos="880"/>
              <w:tab w:val="right" w:leader="dot" w:pos="9350"/>
            </w:tabs>
            <w:jc w:val="both"/>
            <w:rPr>
              <w:rFonts w:eastAsiaTheme="minorEastAsia"/>
              <w:noProof/>
            </w:rPr>
          </w:pPr>
          <w:hyperlink w:anchor="_Toc402703201" w:history="1">
            <w:r w:rsidR="003B672D" w:rsidRPr="00AD49ED">
              <w:rPr>
                <w:rStyle w:val="Hyperlink"/>
                <w:noProof/>
              </w:rPr>
              <w:t>2.2</w:t>
            </w:r>
            <w:r w:rsidR="003B672D">
              <w:rPr>
                <w:rFonts w:eastAsiaTheme="minorEastAsia"/>
                <w:noProof/>
              </w:rPr>
              <w:tab/>
            </w:r>
            <w:r w:rsidR="003B672D" w:rsidRPr="00AD49ED">
              <w:rPr>
                <w:rStyle w:val="Hyperlink"/>
                <w:noProof/>
              </w:rPr>
              <w:t>Factors Affecting Fuel/Consumption Economy</w:t>
            </w:r>
            <w:r w:rsidR="003B672D">
              <w:rPr>
                <w:noProof/>
                <w:webHidden/>
              </w:rPr>
              <w:tab/>
            </w:r>
            <w:r w:rsidR="003B672D">
              <w:rPr>
                <w:noProof/>
                <w:webHidden/>
              </w:rPr>
              <w:fldChar w:fldCharType="begin"/>
            </w:r>
            <w:r w:rsidR="003B672D">
              <w:rPr>
                <w:noProof/>
                <w:webHidden/>
              </w:rPr>
              <w:instrText xml:space="preserve"> PAGEREF _Toc402703201 \h </w:instrText>
            </w:r>
            <w:r w:rsidR="003B672D">
              <w:rPr>
                <w:noProof/>
                <w:webHidden/>
              </w:rPr>
            </w:r>
            <w:r w:rsidR="003B672D">
              <w:rPr>
                <w:noProof/>
                <w:webHidden/>
              </w:rPr>
              <w:fldChar w:fldCharType="separate"/>
            </w:r>
            <w:r w:rsidR="00E75255">
              <w:rPr>
                <w:noProof/>
                <w:webHidden/>
              </w:rPr>
              <w:t>5</w:t>
            </w:r>
            <w:r w:rsidR="003B672D">
              <w:rPr>
                <w:noProof/>
                <w:webHidden/>
              </w:rPr>
              <w:fldChar w:fldCharType="end"/>
            </w:r>
          </w:hyperlink>
        </w:p>
        <w:p w14:paraId="7CB3052F" w14:textId="77777777" w:rsidR="003B672D" w:rsidRDefault="003D4928" w:rsidP="00E75255">
          <w:pPr>
            <w:pStyle w:val="TOC2"/>
            <w:tabs>
              <w:tab w:val="left" w:pos="880"/>
              <w:tab w:val="right" w:leader="dot" w:pos="9350"/>
            </w:tabs>
            <w:jc w:val="both"/>
            <w:rPr>
              <w:rFonts w:eastAsiaTheme="minorEastAsia"/>
              <w:noProof/>
            </w:rPr>
          </w:pPr>
          <w:hyperlink w:anchor="_Toc402703202" w:history="1">
            <w:r w:rsidR="003B672D" w:rsidRPr="00AD49ED">
              <w:rPr>
                <w:rStyle w:val="Hyperlink"/>
                <w:noProof/>
              </w:rPr>
              <w:t>2.3</w:t>
            </w:r>
            <w:r w:rsidR="003B672D">
              <w:rPr>
                <w:rFonts w:eastAsiaTheme="minorEastAsia"/>
                <w:noProof/>
              </w:rPr>
              <w:tab/>
            </w:r>
            <w:r w:rsidR="003B672D" w:rsidRPr="00AD49ED">
              <w:rPr>
                <w:rStyle w:val="Hyperlink"/>
                <w:noProof/>
              </w:rPr>
              <w:t>Fuel Economy Standards</w:t>
            </w:r>
            <w:r w:rsidR="003B672D">
              <w:rPr>
                <w:noProof/>
                <w:webHidden/>
              </w:rPr>
              <w:tab/>
            </w:r>
            <w:r w:rsidR="003B672D">
              <w:rPr>
                <w:noProof/>
                <w:webHidden/>
              </w:rPr>
              <w:fldChar w:fldCharType="begin"/>
            </w:r>
            <w:r w:rsidR="003B672D">
              <w:rPr>
                <w:noProof/>
                <w:webHidden/>
              </w:rPr>
              <w:instrText xml:space="preserve"> PAGEREF _Toc402703202 \h </w:instrText>
            </w:r>
            <w:r w:rsidR="003B672D">
              <w:rPr>
                <w:noProof/>
                <w:webHidden/>
              </w:rPr>
            </w:r>
            <w:r w:rsidR="003B672D">
              <w:rPr>
                <w:noProof/>
                <w:webHidden/>
              </w:rPr>
              <w:fldChar w:fldCharType="separate"/>
            </w:r>
            <w:r w:rsidR="00E75255">
              <w:rPr>
                <w:noProof/>
                <w:webHidden/>
              </w:rPr>
              <w:t>7</w:t>
            </w:r>
            <w:r w:rsidR="003B672D">
              <w:rPr>
                <w:noProof/>
                <w:webHidden/>
              </w:rPr>
              <w:fldChar w:fldCharType="end"/>
            </w:r>
          </w:hyperlink>
        </w:p>
        <w:p w14:paraId="7ADAD023" w14:textId="77777777" w:rsidR="003B672D" w:rsidRDefault="003D4928" w:rsidP="00E75255">
          <w:pPr>
            <w:pStyle w:val="TOC2"/>
            <w:tabs>
              <w:tab w:val="left" w:pos="880"/>
              <w:tab w:val="right" w:leader="dot" w:pos="9350"/>
            </w:tabs>
            <w:jc w:val="both"/>
            <w:rPr>
              <w:rFonts w:eastAsiaTheme="minorEastAsia"/>
              <w:noProof/>
            </w:rPr>
          </w:pPr>
          <w:hyperlink w:anchor="_Toc402703203" w:history="1">
            <w:r w:rsidR="003B672D" w:rsidRPr="00AD49ED">
              <w:rPr>
                <w:rStyle w:val="Hyperlink"/>
                <w:noProof/>
              </w:rPr>
              <w:t>2.4</w:t>
            </w:r>
            <w:r w:rsidR="003B672D">
              <w:rPr>
                <w:rFonts w:eastAsiaTheme="minorEastAsia"/>
                <w:noProof/>
              </w:rPr>
              <w:tab/>
            </w:r>
            <w:r w:rsidR="003B672D" w:rsidRPr="00AD49ED">
              <w:rPr>
                <w:rStyle w:val="Hyperlink"/>
                <w:noProof/>
              </w:rPr>
              <w:t>Driving Cycles</w:t>
            </w:r>
            <w:r w:rsidR="003B672D">
              <w:rPr>
                <w:noProof/>
                <w:webHidden/>
              </w:rPr>
              <w:tab/>
            </w:r>
            <w:r w:rsidR="003B672D">
              <w:rPr>
                <w:noProof/>
                <w:webHidden/>
              </w:rPr>
              <w:fldChar w:fldCharType="begin"/>
            </w:r>
            <w:r w:rsidR="003B672D">
              <w:rPr>
                <w:noProof/>
                <w:webHidden/>
              </w:rPr>
              <w:instrText xml:space="preserve"> PAGEREF _Toc402703203 \h </w:instrText>
            </w:r>
            <w:r w:rsidR="003B672D">
              <w:rPr>
                <w:noProof/>
                <w:webHidden/>
              </w:rPr>
            </w:r>
            <w:r w:rsidR="003B672D">
              <w:rPr>
                <w:noProof/>
                <w:webHidden/>
              </w:rPr>
              <w:fldChar w:fldCharType="separate"/>
            </w:r>
            <w:r w:rsidR="00E75255">
              <w:rPr>
                <w:noProof/>
                <w:webHidden/>
              </w:rPr>
              <w:t>8</w:t>
            </w:r>
            <w:r w:rsidR="003B672D">
              <w:rPr>
                <w:noProof/>
                <w:webHidden/>
              </w:rPr>
              <w:fldChar w:fldCharType="end"/>
            </w:r>
          </w:hyperlink>
        </w:p>
        <w:p w14:paraId="376FB67E" w14:textId="77777777" w:rsidR="003B672D" w:rsidRDefault="003D4928" w:rsidP="00E75255">
          <w:pPr>
            <w:pStyle w:val="TOC1"/>
            <w:rPr>
              <w:rFonts w:eastAsiaTheme="minorEastAsia"/>
              <w:noProof/>
            </w:rPr>
          </w:pPr>
          <w:hyperlink w:anchor="_Toc402703204" w:history="1">
            <w:r w:rsidR="003B672D" w:rsidRPr="00AD49ED">
              <w:rPr>
                <w:rStyle w:val="Hyperlink"/>
                <w:noProof/>
              </w:rPr>
              <w:t>3</w:t>
            </w:r>
            <w:r w:rsidR="003B672D">
              <w:rPr>
                <w:rFonts w:eastAsiaTheme="minorEastAsia"/>
                <w:noProof/>
              </w:rPr>
              <w:tab/>
            </w:r>
            <w:r w:rsidR="003B672D" w:rsidRPr="00AD49ED">
              <w:rPr>
                <w:rStyle w:val="Hyperlink"/>
                <w:noProof/>
              </w:rPr>
              <w:t>Morocco in a North African context</w:t>
            </w:r>
            <w:r w:rsidR="003B672D">
              <w:rPr>
                <w:noProof/>
                <w:webHidden/>
              </w:rPr>
              <w:tab/>
            </w:r>
            <w:r w:rsidR="003B672D">
              <w:rPr>
                <w:noProof/>
                <w:webHidden/>
              </w:rPr>
              <w:fldChar w:fldCharType="begin"/>
            </w:r>
            <w:r w:rsidR="003B672D">
              <w:rPr>
                <w:noProof/>
                <w:webHidden/>
              </w:rPr>
              <w:instrText xml:space="preserve"> PAGEREF _Toc402703204 \h </w:instrText>
            </w:r>
            <w:r w:rsidR="003B672D">
              <w:rPr>
                <w:noProof/>
                <w:webHidden/>
              </w:rPr>
            </w:r>
            <w:r w:rsidR="003B672D">
              <w:rPr>
                <w:noProof/>
                <w:webHidden/>
              </w:rPr>
              <w:fldChar w:fldCharType="separate"/>
            </w:r>
            <w:r w:rsidR="00E75255">
              <w:rPr>
                <w:noProof/>
                <w:webHidden/>
              </w:rPr>
              <w:t>9</w:t>
            </w:r>
            <w:r w:rsidR="003B672D">
              <w:rPr>
                <w:noProof/>
                <w:webHidden/>
              </w:rPr>
              <w:fldChar w:fldCharType="end"/>
            </w:r>
          </w:hyperlink>
        </w:p>
        <w:p w14:paraId="53B8C947" w14:textId="77777777" w:rsidR="003B672D" w:rsidRDefault="003D4928" w:rsidP="00E75255">
          <w:pPr>
            <w:pStyle w:val="TOC1"/>
            <w:rPr>
              <w:rFonts w:eastAsiaTheme="minorEastAsia"/>
              <w:noProof/>
            </w:rPr>
          </w:pPr>
          <w:hyperlink w:anchor="_Toc402703205" w:history="1">
            <w:r w:rsidR="003B672D" w:rsidRPr="00AD49ED">
              <w:rPr>
                <w:rStyle w:val="Hyperlink"/>
                <w:noProof/>
              </w:rPr>
              <w:t>4</w:t>
            </w:r>
            <w:r w:rsidR="003B672D">
              <w:rPr>
                <w:rFonts w:eastAsiaTheme="minorEastAsia"/>
                <w:noProof/>
              </w:rPr>
              <w:tab/>
            </w:r>
            <w:r w:rsidR="003B672D" w:rsidRPr="00AD49ED">
              <w:rPr>
                <w:rStyle w:val="Hyperlink"/>
                <w:noProof/>
              </w:rPr>
              <w:t>LDVs Policy Environment in Morocco</w:t>
            </w:r>
            <w:r w:rsidR="003B672D">
              <w:rPr>
                <w:noProof/>
                <w:webHidden/>
              </w:rPr>
              <w:tab/>
            </w:r>
            <w:r w:rsidR="003B672D">
              <w:rPr>
                <w:noProof/>
                <w:webHidden/>
              </w:rPr>
              <w:fldChar w:fldCharType="begin"/>
            </w:r>
            <w:r w:rsidR="003B672D">
              <w:rPr>
                <w:noProof/>
                <w:webHidden/>
              </w:rPr>
              <w:instrText xml:space="preserve"> PAGEREF _Toc402703205 \h </w:instrText>
            </w:r>
            <w:r w:rsidR="003B672D">
              <w:rPr>
                <w:noProof/>
                <w:webHidden/>
              </w:rPr>
            </w:r>
            <w:r w:rsidR="003B672D">
              <w:rPr>
                <w:noProof/>
                <w:webHidden/>
              </w:rPr>
              <w:fldChar w:fldCharType="separate"/>
            </w:r>
            <w:r w:rsidR="00E75255">
              <w:rPr>
                <w:noProof/>
                <w:webHidden/>
              </w:rPr>
              <w:t>11</w:t>
            </w:r>
            <w:r w:rsidR="003B672D">
              <w:rPr>
                <w:noProof/>
                <w:webHidden/>
              </w:rPr>
              <w:fldChar w:fldCharType="end"/>
            </w:r>
          </w:hyperlink>
        </w:p>
        <w:p w14:paraId="730E89E6" w14:textId="77777777" w:rsidR="003B672D" w:rsidRDefault="003D4928" w:rsidP="00E75255">
          <w:pPr>
            <w:pStyle w:val="TOC1"/>
            <w:rPr>
              <w:rFonts w:eastAsiaTheme="minorEastAsia"/>
              <w:noProof/>
            </w:rPr>
          </w:pPr>
          <w:hyperlink w:anchor="_Toc402703206" w:history="1">
            <w:r w:rsidR="003B672D" w:rsidRPr="00AD49ED">
              <w:rPr>
                <w:rStyle w:val="Hyperlink"/>
                <w:noProof/>
              </w:rPr>
              <w:t>5</w:t>
            </w:r>
            <w:r w:rsidR="003B672D">
              <w:rPr>
                <w:rFonts w:eastAsiaTheme="minorEastAsia"/>
                <w:noProof/>
              </w:rPr>
              <w:tab/>
            </w:r>
            <w:r w:rsidR="003B672D" w:rsidRPr="00AD49ED">
              <w:rPr>
                <w:rStyle w:val="Hyperlink"/>
                <w:noProof/>
              </w:rPr>
              <w:t>Data for CO</w:t>
            </w:r>
            <w:r w:rsidR="003B672D" w:rsidRPr="00AD49ED">
              <w:rPr>
                <w:rStyle w:val="Hyperlink"/>
                <w:noProof/>
                <w:vertAlign w:val="subscript"/>
              </w:rPr>
              <w:t>2</w:t>
            </w:r>
            <w:r w:rsidR="003B672D" w:rsidRPr="00AD49ED">
              <w:rPr>
                <w:rStyle w:val="Hyperlink"/>
                <w:noProof/>
              </w:rPr>
              <w:t xml:space="preserve">   Emissions and Fuel consumption in Morocco</w:t>
            </w:r>
            <w:r w:rsidR="003B672D">
              <w:rPr>
                <w:noProof/>
                <w:webHidden/>
              </w:rPr>
              <w:tab/>
            </w:r>
            <w:r w:rsidR="003B672D">
              <w:rPr>
                <w:noProof/>
                <w:webHidden/>
              </w:rPr>
              <w:fldChar w:fldCharType="begin"/>
            </w:r>
            <w:r w:rsidR="003B672D">
              <w:rPr>
                <w:noProof/>
                <w:webHidden/>
              </w:rPr>
              <w:instrText xml:space="preserve"> PAGEREF _Toc402703206 \h </w:instrText>
            </w:r>
            <w:r w:rsidR="003B672D">
              <w:rPr>
                <w:noProof/>
                <w:webHidden/>
              </w:rPr>
            </w:r>
            <w:r w:rsidR="003B672D">
              <w:rPr>
                <w:noProof/>
                <w:webHidden/>
              </w:rPr>
              <w:fldChar w:fldCharType="separate"/>
            </w:r>
            <w:r w:rsidR="00E75255">
              <w:rPr>
                <w:noProof/>
                <w:webHidden/>
              </w:rPr>
              <w:t>12</w:t>
            </w:r>
            <w:r w:rsidR="003B672D">
              <w:rPr>
                <w:noProof/>
                <w:webHidden/>
              </w:rPr>
              <w:fldChar w:fldCharType="end"/>
            </w:r>
          </w:hyperlink>
        </w:p>
        <w:p w14:paraId="0FCD25FB" w14:textId="77777777" w:rsidR="003B672D" w:rsidRDefault="003D4928" w:rsidP="00E75255">
          <w:pPr>
            <w:pStyle w:val="TOC1"/>
            <w:rPr>
              <w:rFonts w:eastAsiaTheme="minorEastAsia"/>
              <w:noProof/>
            </w:rPr>
          </w:pPr>
          <w:hyperlink w:anchor="_Toc402703207" w:history="1">
            <w:r w:rsidR="003B672D" w:rsidRPr="00AD49ED">
              <w:rPr>
                <w:rStyle w:val="Hyperlink"/>
                <w:noProof/>
              </w:rPr>
              <w:t>6</w:t>
            </w:r>
            <w:r w:rsidR="003B672D">
              <w:rPr>
                <w:rFonts w:eastAsiaTheme="minorEastAsia"/>
                <w:noProof/>
              </w:rPr>
              <w:tab/>
            </w:r>
            <w:r w:rsidR="003B672D" w:rsidRPr="00AD49ED">
              <w:rPr>
                <w:rStyle w:val="Hyperlink"/>
                <w:noProof/>
              </w:rPr>
              <w:t>Discussion of Data</w:t>
            </w:r>
            <w:r w:rsidR="003B672D">
              <w:rPr>
                <w:noProof/>
                <w:webHidden/>
              </w:rPr>
              <w:tab/>
            </w:r>
            <w:r w:rsidR="003B672D">
              <w:rPr>
                <w:noProof/>
                <w:webHidden/>
              </w:rPr>
              <w:fldChar w:fldCharType="begin"/>
            </w:r>
            <w:r w:rsidR="003B672D">
              <w:rPr>
                <w:noProof/>
                <w:webHidden/>
              </w:rPr>
              <w:instrText xml:space="preserve"> PAGEREF _Toc402703207 \h </w:instrText>
            </w:r>
            <w:r w:rsidR="003B672D">
              <w:rPr>
                <w:noProof/>
                <w:webHidden/>
              </w:rPr>
            </w:r>
            <w:r w:rsidR="003B672D">
              <w:rPr>
                <w:noProof/>
                <w:webHidden/>
              </w:rPr>
              <w:fldChar w:fldCharType="separate"/>
            </w:r>
            <w:r w:rsidR="00E75255">
              <w:rPr>
                <w:noProof/>
                <w:webHidden/>
              </w:rPr>
              <w:t>15</w:t>
            </w:r>
            <w:r w:rsidR="003B672D">
              <w:rPr>
                <w:noProof/>
                <w:webHidden/>
              </w:rPr>
              <w:fldChar w:fldCharType="end"/>
            </w:r>
          </w:hyperlink>
        </w:p>
        <w:p w14:paraId="4C36D78A" w14:textId="77777777" w:rsidR="003B672D" w:rsidRDefault="003D4928" w:rsidP="00E75255">
          <w:pPr>
            <w:pStyle w:val="TOC1"/>
            <w:rPr>
              <w:rFonts w:eastAsiaTheme="minorEastAsia"/>
              <w:noProof/>
            </w:rPr>
          </w:pPr>
          <w:hyperlink w:anchor="_Toc402703208" w:history="1">
            <w:r w:rsidR="003B672D" w:rsidRPr="00AD49ED">
              <w:rPr>
                <w:rStyle w:val="Hyperlink"/>
                <w:noProof/>
              </w:rPr>
              <w:t>7</w:t>
            </w:r>
            <w:r w:rsidR="003B672D">
              <w:rPr>
                <w:rFonts w:eastAsiaTheme="minorEastAsia"/>
                <w:noProof/>
              </w:rPr>
              <w:tab/>
            </w:r>
            <w:r w:rsidR="003B672D" w:rsidRPr="00AD49ED">
              <w:rPr>
                <w:rStyle w:val="Hyperlink"/>
                <w:noProof/>
              </w:rPr>
              <w:t>Way Forward and Recommendations</w:t>
            </w:r>
            <w:r w:rsidR="003B672D">
              <w:rPr>
                <w:noProof/>
                <w:webHidden/>
              </w:rPr>
              <w:tab/>
            </w:r>
            <w:r w:rsidR="003B672D">
              <w:rPr>
                <w:noProof/>
                <w:webHidden/>
              </w:rPr>
              <w:fldChar w:fldCharType="begin"/>
            </w:r>
            <w:r w:rsidR="003B672D">
              <w:rPr>
                <w:noProof/>
                <w:webHidden/>
              </w:rPr>
              <w:instrText xml:space="preserve"> PAGEREF _Toc402703208 \h </w:instrText>
            </w:r>
            <w:r w:rsidR="003B672D">
              <w:rPr>
                <w:noProof/>
                <w:webHidden/>
              </w:rPr>
            </w:r>
            <w:r w:rsidR="003B672D">
              <w:rPr>
                <w:noProof/>
                <w:webHidden/>
              </w:rPr>
              <w:fldChar w:fldCharType="separate"/>
            </w:r>
            <w:r w:rsidR="00E75255">
              <w:rPr>
                <w:noProof/>
                <w:webHidden/>
              </w:rPr>
              <w:t>18</w:t>
            </w:r>
            <w:r w:rsidR="003B672D">
              <w:rPr>
                <w:noProof/>
                <w:webHidden/>
              </w:rPr>
              <w:fldChar w:fldCharType="end"/>
            </w:r>
          </w:hyperlink>
        </w:p>
        <w:p w14:paraId="6EF79C4D" w14:textId="77777777" w:rsidR="003B672D" w:rsidRDefault="003B672D" w:rsidP="00E75255">
          <w:pPr>
            <w:jc w:val="both"/>
          </w:pPr>
          <w:r>
            <w:rPr>
              <w:b/>
              <w:bCs/>
              <w:noProof/>
            </w:rPr>
            <w:fldChar w:fldCharType="end"/>
          </w:r>
        </w:p>
      </w:sdtContent>
    </w:sdt>
    <w:p w14:paraId="2C3427A4" w14:textId="77777777" w:rsidR="003B672D" w:rsidRDefault="003B672D">
      <w:pPr>
        <w:pStyle w:val="TableofFigures"/>
        <w:tabs>
          <w:tab w:val="right" w:leader="dot" w:pos="9350"/>
        </w:tabs>
      </w:pPr>
    </w:p>
    <w:p w14:paraId="67E1872E" w14:textId="77777777" w:rsidR="003B672D" w:rsidRPr="003B672D" w:rsidRDefault="003B672D">
      <w:pPr>
        <w:pStyle w:val="TableofFigures"/>
        <w:tabs>
          <w:tab w:val="right" w:leader="dot" w:pos="9350"/>
        </w:tabs>
        <w:rPr>
          <w:rFonts w:asciiTheme="majorHAnsi" w:eastAsiaTheme="majorEastAsia" w:hAnsiTheme="majorHAnsi" w:cstheme="majorBidi"/>
          <w:b/>
          <w:bCs/>
          <w:color w:val="365F91" w:themeColor="accent1" w:themeShade="BF"/>
          <w:sz w:val="28"/>
          <w:szCs w:val="28"/>
          <w:lang w:eastAsia="ja-JP"/>
        </w:rPr>
      </w:pPr>
      <w:r w:rsidRPr="003B672D">
        <w:rPr>
          <w:rFonts w:asciiTheme="majorHAnsi" w:eastAsiaTheme="majorEastAsia" w:hAnsiTheme="majorHAnsi" w:cstheme="majorBidi"/>
          <w:b/>
          <w:bCs/>
          <w:color w:val="365F91" w:themeColor="accent1" w:themeShade="BF"/>
          <w:sz w:val="28"/>
          <w:szCs w:val="28"/>
          <w:lang w:eastAsia="ja-JP"/>
        </w:rPr>
        <w:t>List of Figures</w:t>
      </w:r>
    </w:p>
    <w:p w14:paraId="520BF049" w14:textId="77777777" w:rsidR="003B672D" w:rsidRDefault="003B672D">
      <w:pPr>
        <w:pStyle w:val="TableofFigures"/>
        <w:tabs>
          <w:tab w:val="right" w:leader="dot" w:pos="9350"/>
        </w:tabs>
        <w:rPr>
          <w:noProof/>
        </w:rPr>
      </w:pPr>
      <w:r>
        <w:fldChar w:fldCharType="begin"/>
      </w:r>
      <w:r>
        <w:instrText xml:space="preserve"> TOC \h \z \c "Figure" </w:instrText>
      </w:r>
      <w:r>
        <w:fldChar w:fldCharType="separate"/>
      </w:r>
      <w:hyperlink w:anchor="_Toc402702769" w:history="1">
        <w:r w:rsidRPr="002C017C">
          <w:rPr>
            <w:rStyle w:val="Hyperlink"/>
            <w:noProof/>
          </w:rPr>
          <w:t>Figure 1: Total Vehicles on the road. (OICA 2014)</w:t>
        </w:r>
        <w:r>
          <w:rPr>
            <w:noProof/>
            <w:webHidden/>
          </w:rPr>
          <w:tab/>
        </w:r>
        <w:r>
          <w:rPr>
            <w:noProof/>
            <w:webHidden/>
          </w:rPr>
          <w:fldChar w:fldCharType="begin"/>
        </w:r>
        <w:r>
          <w:rPr>
            <w:noProof/>
            <w:webHidden/>
          </w:rPr>
          <w:instrText xml:space="preserve"> PAGEREF _Toc402702769 \h </w:instrText>
        </w:r>
        <w:r>
          <w:rPr>
            <w:noProof/>
            <w:webHidden/>
          </w:rPr>
        </w:r>
        <w:r>
          <w:rPr>
            <w:noProof/>
            <w:webHidden/>
          </w:rPr>
          <w:fldChar w:fldCharType="separate"/>
        </w:r>
        <w:r w:rsidR="00E75255">
          <w:rPr>
            <w:noProof/>
            <w:webHidden/>
          </w:rPr>
          <w:t>10</w:t>
        </w:r>
        <w:r>
          <w:rPr>
            <w:noProof/>
            <w:webHidden/>
          </w:rPr>
          <w:fldChar w:fldCharType="end"/>
        </w:r>
      </w:hyperlink>
    </w:p>
    <w:p w14:paraId="2F0E1509" w14:textId="77777777" w:rsidR="003B672D" w:rsidRDefault="003D4928">
      <w:pPr>
        <w:pStyle w:val="TableofFigures"/>
        <w:tabs>
          <w:tab w:val="right" w:leader="dot" w:pos="9350"/>
        </w:tabs>
        <w:rPr>
          <w:noProof/>
        </w:rPr>
      </w:pPr>
      <w:hyperlink w:anchor="_Toc402702770" w:history="1">
        <w:r w:rsidR="003B672D" w:rsidRPr="002C017C">
          <w:rPr>
            <w:rStyle w:val="Hyperlink"/>
            <w:noProof/>
          </w:rPr>
          <w:t>Figure 2: Sales of new LDVs in Tunisia and Egypt. (Matthias Gasnier 2014)</w:t>
        </w:r>
        <w:r w:rsidR="003B672D">
          <w:rPr>
            <w:noProof/>
            <w:webHidden/>
          </w:rPr>
          <w:tab/>
        </w:r>
        <w:r w:rsidR="003B672D">
          <w:rPr>
            <w:noProof/>
            <w:webHidden/>
          </w:rPr>
          <w:fldChar w:fldCharType="begin"/>
        </w:r>
        <w:r w:rsidR="003B672D">
          <w:rPr>
            <w:noProof/>
            <w:webHidden/>
          </w:rPr>
          <w:instrText xml:space="preserve"> PAGEREF _Toc402702770 \h </w:instrText>
        </w:r>
        <w:r w:rsidR="003B672D">
          <w:rPr>
            <w:noProof/>
            <w:webHidden/>
          </w:rPr>
        </w:r>
        <w:r w:rsidR="003B672D">
          <w:rPr>
            <w:noProof/>
            <w:webHidden/>
          </w:rPr>
          <w:fldChar w:fldCharType="separate"/>
        </w:r>
        <w:r w:rsidR="00E75255">
          <w:rPr>
            <w:noProof/>
            <w:webHidden/>
          </w:rPr>
          <w:t>10</w:t>
        </w:r>
        <w:r w:rsidR="003B672D">
          <w:rPr>
            <w:noProof/>
            <w:webHidden/>
          </w:rPr>
          <w:fldChar w:fldCharType="end"/>
        </w:r>
      </w:hyperlink>
    </w:p>
    <w:p w14:paraId="4A49BF0E" w14:textId="77777777" w:rsidR="003B672D" w:rsidRDefault="003D4928">
      <w:pPr>
        <w:pStyle w:val="TableofFigures"/>
        <w:tabs>
          <w:tab w:val="right" w:leader="dot" w:pos="9350"/>
        </w:tabs>
        <w:rPr>
          <w:noProof/>
        </w:rPr>
      </w:pPr>
      <w:hyperlink w:anchor="_Toc402702771" w:history="1">
        <w:r w:rsidR="003B672D" w:rsidRPr="002C017C">
          <w:rPr>
            <w:rStyle w:val="Hyperlink"/>
            <w:noProof/>
          </w:rPr>
          <w:t>Figure 3: Sales of new LDVs in Morocco. (Matthias Gasnier 2014)</w:t>
        </w:r>
        <w:r w:rsidR="003B672D">
          <w:rPr>
            <w:noProof/>
            <w:webHidden/>
          </w:rPr>
          <w:tab/>
        </w:r>
        <w:r w:rsidR="003B672D">
          <w:rPr>
            <w:noProof/>
            <w:webHidden/>
          </w:rPr>
          <w:fldChar w:fldCharType="begin"/>
        </w:r>
        <w:r w:rsidR="003B672D">
          <w:rPr>
            <w:noProof/>
            <w:webHidden/>
          </w:rPr>
          <w:instrText xml:space="preserve"> PAGEREF _Toc402702771 \h </w:instrText>
        </w:r>
        <w:r w:rsidR="003B672D">
          <w:rPr>
            <w:noProof/>
            <w:webHidden/>
          </w:rPr>
        </w:r>
        <w:r w:rsidR="003B672D">
          <w:rPr>
            <w:noProof/>
            <w:webHidden/>
          </w:rPr>
          <w:fldChar w:fldCharType="separate"/>
        </w:r>
        <w:r w:rsidR="00E75255">
          <w:rPr>
            <w:noProof/>
            <w:webHidden/>
          </w:rPr>
          <w:t>10</w:t>
        </w:r>
        <w:r w:rsidR="003B672D">
          <w:rPr>
            <w:noProof/>
            <w:webHidden/>
          </w:rPr>
          <w:fldChar w:fldCharType="end"/>
        </w:r>
      </w:hyperlink>
    </w:p>
    <w:p w14:paraId="0A334C30" w14:textId="77777777" w:rsidR="003B672D" w:rsidRDefault="003D4928">
      <w:pPr>
        <w:pStyle w:val="TableofFigures"/>
        <w:tabs>
          <w:tab w:val="right" w:leader="dot" w:pos="9350"/>
        </w:tabs>
        <w:rPr>
          <w:noProof/>
        </w:rPr>
      </w:pPr>
      <w:hyperlink w:anchor="_Toc402702772" w:history="1">
        <w:r w:rsidR="003B672D" w:rsidRPr="002C017C">
          <w:rPr>
            <w:rStyle w:val="Hyperlink"/>
            <w:noProof/>
          </w:rPr>
          <w:t>Figure 4: Different Averages for CO2 emission in Morocco</w:t>
        </w:r>
        <w:r w:rsidR="003B672D">
          <w:rPr>
            <w:noProof/>
            <w:webHidden/>
          </w:rPr>
          <w:tab/>
        </w:r>
        <w:r w:rsidR="003B672D">
          <w:rPr>
            <w:noProof/>
            <w:webHidden/>
          </w:rPr>
          <w:fldChar w:fldCharType="begin"/>
        </w:r>
        <w:r w:rsidR="003B672D">
          <w:rPr>
            <w:noProof/>
            <w:webHidden/>
          </w:rPr>
          <w:instrText xml:space="preserve"> PAGEREF _Toc402702772 \h </w:instrText>
        </w:r>
        <w:r w:rsidR="003B672D">
          <w:rPr>
            <w:noProof/>
            <w:webHidden/>
          </w:rPr>
        </w:r>
        <w:r w:rsidR="003B672D">
          <w:rPr>
            <w:noProof/>
            <w:webHidden/>
          </w:rPr>
          <w:fldChar w:fldCharType="separate"/>
        </w:r>
        <w:r w:rsidR="00E75255">
          <w:rPr>
            <w:noProof/>
            <w:webHidden/>
          </w:rPr>
          <w:t>13</w:t>
        </w:r>
        <w:r w:rsidR="003B672D">
          <w:rPr>
            <w:noProof/>
            <w:webHidden/>
          </w:rPr>
          <w:fldChar w:fldCharType="end"/>
        </w:r>
      </w:hyperlink>
    </w:p>
    <w:p w14:paraId="6CFE8794" w14:textId="77777777" w:rsidR="003B672D" w:rsidRDefault="003D4928">
      <w:pPr>
        <w:pStyle w:val="TableofFigures"/>
        <w:tabs>
          <w:tab w:val="right" w:leader="dot" w:pos="9350"/>
        </w:tabs>
        <w:rPr>
          <w:noProof/>
        </w:rPr>
      </w:pPr>
      <w:hyperlink w:anchor="_Toc402702773" w:history="1">
        <w:r w:rsidR="003B672D" w:rsidRPr="002C017C">
          <w:rPr>
            <w:rStyle w:val="Hyperlink"/>
            <w:noProof/>
          </w:rPr>
          <w:t>Figure 5: Different Averages for diesel CO2 emissions in Morocco</w:t>
        </w:r>
        <w:r w:rsidR="003B672D">
          <w:rPr>
            <w:noProof/>
            <w:webHidden/>
          </w:rPr>
          <w:tab/>
        </w:r>
        <w:r w:rsidR="003B672D">
          <w:rPr>
            <w:noProof/>
            <w:webHidden/>
          </w:rPr>
          <w:fldChar w:fldCharType="begin"/>
        </w:r>
        <w:r w:rsidR="003B672D">
          <w:rPr>
            <w:noProof/>
            <w:webHidden/>
          </w:rPr>
          <w:instrText xml:space="preserve"> PAGEREF _Toc402702773 \h </w:instrText>
        </w:r>
        <w:r w:rsidR="003B672D">
          <w:rPr>
            <w:noProof/>
            <w:webHidden/>
          </w:rPr>
        </w:r>
        <w:r w:rsidR="003B672D">
          <w:rPr>
            <w:noProof/>
            <w:webHidden/>
          </w:rPr>
          <w:fldChar w:fldCharType="separate"/>
        </w:r>
        <w:r w:rsidR="00E75255">
          <w:rPr>
            <w:noProof/>
            <w:webHidden/>
          </w:rPr>
          <w:t>13</w:t>
        </w:r>
        <w:r w:rsidR="003B672D">
          <w:rPr>
            <w:noProof/>
            <w:webHidden/>
          </w:rPr>
          <w:fldChar w:fldCharType="end"/>
        </w:r>
      </w:hyperlink>
    </w:p>
    <w:p w14:paraId="7BA4372B" w14:textId="77777777" w:rsidR="003B672D" w:rsidRDefault="003D4928">
      <w:pPr>
        <w:pStyle w:val="TableofFigures"/>
        <w:tabs>
          <w:tab w:val="right" w:leader="dot" w:pos="9350"/>
        </w:tabs>
        <w:rPr>
          <w:noProof/>
        </w:rPr>
      </w:pPr>
      <w:hyperlink w:anchor="_Toc402702774" w:history="1">
        <w:r w:rsidR="003B672D" w:rsidRPr="002C017C">
          <w:rPr>
            <w:rStyle w:val="Hyperlink"/>
            <w:noProof/>
          </w:rPr>
          <w:t>Figure 6: Petrol Fuel Consumption for LDVs in Morocco</w:t>
        </w:r>
        <w:r w:rsidR="003B672D">
          <w:rPr>
            <w:noProof/>
            <w:webHidden/>
          </w:rPr>
          <w:tab/>
        </w:r>
        <w:r w:rsidR="003B672D">
          <w:rPr>
            <w:noProof/>
            <w:webHidden/>
          </w:rPr>
          <w:fldChar w:fldCharType="begin"/>
        </w:r>
        <w:r w:rsidR="003B672D">
          <w:rPr>
            <w:noProof/>
            <w:webHidden/>
          </w:rPr>
          <w:instrText xml:space="preserve"> PAGEREF _Toc402702774 \h </w:instrText>
        </w:r>
        <w:r w:rsidR="003B672D">
          <w:rPr>
            <w:noProof/>
            <w:webHidden/>
          </w:rPr>
        </w:r>
        <w:r w:rsidR="003B672D">
          <w:rPr>
            <w:noProof/>
            <w:webHidden/>
          </w:rPr>
          <w:fldChar w:fldCharType="separate"/>
        </w:r>
        <w:r w:rsidR="00E75255">
          <w:rPr>
            <w:noProof/>
            <w:webHidden/>
          </w:rPr>
          <w:t>14</w:t>
        </w:r>
        <w:r w:rsidR="003B672D">
          <w:rPr>
            <w:noProof/>
            <w:webHidden/>
          </w:rPr>
          <w:fldChar w:fldCharType="end"/>
        </w:r>
      </w:hyperlink>
    </w:p>
    <w:p w14:paraId="65E556F1" w14:textId="77777777" w:rsidR="003B672D" w:rsidRDefault="003D4928">
      <w:pPr>
        <w:pStyle w:val="TableofFigures"/>
        <w:tabs>
          <w:tab w:val="right" w:leader="dot" w:pos="9350"/>
        </w:tabs>
        <w:rPr>
          <w:noProof/>
        </w:rPr>
      </w:pPr>
      <w:hyperlink w:anchor="_Toc402702775" w:history="1">
        <w:r w:rsidR="003B672D" w:rsidRPr="002C017C">
          <w:rPr>
            <w:rStyle w:val="Hyperlink"/>
            <w:noProof/>
          </w:rPr>
          <w:t>Figure 7: Diesel Fuel Consumption for LDVs in Morocco</w:t>
        </w:r>
        <w:r w:rsidR="003B672D">
          <w:rPr>
            <w:noProof/>
            <w:webHidden/>
          </w:rPr>
          <w:tab/>
        </w:r>
        <w:r w:rsidR="003B672D">
          <w:rPr>
            <w:noProof/>
            <w:webHidden/>
          </w:rPr>
          <w:fldChar w:fldCharType="begin"/>
        </w:r>
        <w:r w:rsidR="003B672D">
          <w:rPr>
            <w:noProof/>
            <w:webHidden/>
          </w:rPr>
          <w:instrText xml:space="preserve"> PAGEREF _Toc402702775 \h </w:instrText>
        </w:r>
        <w:r w:rsidR="003B672D">
          <w:rPr>
            <w:noProof/>
            <w:webHidden/>
          </w:rPr>
        </w:r>
        <w:r w:rsidR="003B672D">
          <w:rPr>
            <w:noProof/>
            <w:webHidden/>
          </w:rPr>
          <w:fldChar w:fldCharType="separate"/>
        </w:r>
        <w:r w:rsidR="00E75255">
          <w:rPr>
            <w:noProof/>
            <w:webHidden/>
          </w:rPr>
          <w:t>15</w:t>
        </w:r>
        <w:r w:rsidR="003B672D">
          <w:rPr>
            <w:noProof/>
            <w:webHidden/>
          </w:rPr>
          <w:fldChar w:fldCharType="end"/>
        </w:r>
      </w:hyperlink>
    </w:p>
    <w:p w14:paraId="2A45522A" w14:textId="77777777" w:rsidR="003B672D" w:rsidRDefault="003D4928">
      <w:pPr>
        <w:pStyle w:val="TableofFigures"/>
        <w:tabs>
          <w:tab w:val="right" w:leader="dot" w:pos="9350"/>
        </w:tabs>
        <w:rPr>
          <w:noProof/>
        </w:rPr>
      </w:pPr>
      <w:hyperlink w:anchor="_Toc402702776" w:history="1">
        <w:r w:rsidR="003B672D" w:rsidRPr="002C017C">
          <w:rPr>
            <w:rStyle w:val="Hyperlink"/>
            <w:noProof/>
          </w:rPr>
          <w:t>Figure 8: The evolution of co2 emissions from Transportation in Morocco</w:t>
        </w:r>
        <w:r w:rsidR="003B672D">
          <w:rPr>
            <w:noProof/>
            <w:webHidden/>
          </w:rPr>
          <w:tab/>
        </w:r>
        <w:r w:rsidR="003B672D">
          <w:rPr>
            <w:noProof/>
            <w:webHidden/>
          </w:rPr>
          <w:fldChar w:fldCharType="begin"/>
        </w:r>
        <w:r w:rsidR="003B672D">
          <w:rPr>
            <w:noProof/>
            <w:webHidden/>
          </w:rPr>
          <w:instrText xml:space="preserve"> PAGEREF _Toc402702776 \h </w:instrText>
        </w:r>
        <w:r w:rsidR="003B672D">
          <w:rPr>
            <w:noProof/>
            <w:webHidden/>
          </w:rPr>
        </w:r>
        <w:r w:rsidR="003B672D">
          <w:rPr>
            <w:noProof/>
            <w:webHidden/>
          </w:rPr>
          <w:fldChar w:fldCharType="separate"/>
        </w:r>
        <w:r w:rsidR="00E75255">
          <w:rPr>
            <w:noProof/>
            <w:webHidden/>
          </w:rPr>
          <w:t>19</w:t>
        </w:r>
        <w:r w:rsidR="003B672D">
          <w:rPr>
            <w:noProof/>
            <w:webHidden/>
          </w:rPr>
          <w:fldChar w:fldCharType="end"/>
        </w:r>
      </w:hyperlink>
    </w:p>
    <w:p w14:paraId="406DDD57" w14:textId="77777777" w:rsidR="003B672D" w:rsidRDefault="003B672D" w:rsidP="003B672D">
      <w:pPr>
        <w:pStyle w:val="Heading1"/>
        <w:numPr>
          <w:ilvl w:val="0"/>
          <w:numId w:val="0"/>
        </w:numPr>
        <w:ind w:left="432"/>
      </w:pPr>
      <w:r>
        <w:fldChar w:fldCharType="end"/>
      </w:r>
    </w:p>
    <w:p w14:paraId="51D12267" w14:textId="77777777" w:rsidR="003B672D" w:rsidRDefault="003B672D" w:rsidP="00E75255">
      <w:pPr>
        <w:jc w:val="both"/>
        <w:rPr>
          <w:rFonts w:asciiTheme="majorHAnsi" w:eastAsiaTheme="majorEastAsia" w:hAnsiTheme="majorHAnsi" w:cstheme="majorBidi"/>
          <w:color w:val="365F91" w:themeColor="accent1" w:themeShade="BF"/>
          <w:sz w:val="28"/>
          <w:szCs w:val="28"/>
        </w:rPr>
      </w:pPr>
      <w:r>
        <w:br w:type="page"/>
      </w:r>
    </w:p>
    <w:p w14:paraId="5F21B46A" w14:textId="77777777" w:rsidR="002F1297" w:rsidRPr="002F1297" w:rsidRDefault="002F1297" w:rsidP="00B42281">
      <w:pPr>
        <w:pStyle w:val="Heading1"/>
      </w:pPr>
      <w:bookmarkStart w:id="2" w:name="_Toc402703195"/>
      <w:r w:rsidRPr="002F1297">
        <w:lastRenderedPageBreak/>
        <w:t>Introduction.</w:t>
      </w:r>
      <w:bookmarkEnd w:id="0"/>
      <w:bookmarkEnd w:id="2"/>
    </w:p>
    <w:p w14:paraId="2B132F09"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The transport sector is responsible for 27 % of the world energy consumption (IEA, 2012). This proportion has increased from 23% in 1973 (IEA, 2011) and contributes to 22 % of total CO</w:t>
      </w:r>
      <w:r w:rsidRPr="002F1297">
        <w:rPr>
          <w:rFonts w:asciiTheme="majorBidi" w:hAnsiTheme="majorBidi" w:cstheme="majorBidi"/>
          <w:sz w:val="24"/>
          <w:szCs w:val="24"/>
          <w:vertAlign w:val="subscript"/>
        </w:rPr>
        <w:t>2</w:t>
      </w:r>
      <w:r w:rsidRPr="002F1297">
        <w:rPr>
          <w:rFonts w:asciiTheme="majorBidi" w:hAnsiTheme="majorBidi" w:cstheme="majorBidi"/>
          <w:sz w:val="24"/>
          <w:szCs w:val="24"/>
        </w:rPr>
        <w:t xml:space="preserve"> emissions (IEA, 2012). </w:t>
      </w:r>
    </w:p>
    <w:p w14:paraId="1A002EA9"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 xml:space="preserve">A growing international concern over climate change induced by the burning of fossil fuels has been accelerating. Also the security and sustainability of oil supplies </w:t>
      </w:r>
      <w:proofErr w:type="gramStart"/>
      <w:r w:rsidRPr="002F1297">
        <w:rPr>
          <w:rFonts w:asciiTheme="majorBidi" w:hAnsiTheme="majorBidi" w:cstheme="majorBidi"/>
          <w:sz w:val="24"/>
          <w:szCs w:val="24"/>
        </w:rPr>
        <w:t>are</w:t>
      </w:r>
      <w:proofErr w:type="gramEnd"/>
      <w:r w:rsidRPr="002F1297">
        <w:rPr>
          <w:rFonts w:asciiTheme="majorBidi" w:hAnsiTheme="majorBidi" w:cstheme="majorBidi"/>
          <w:sz w:val="24"/>
          <w:szCs w:val="24"/>
        </w:rPr>
        <w:t xml:space="preserve"> subject of growing global concerns.  In response to those challenges many countries all over the world are working on curbing oil consumption and finding alternative resources. That’s why many countries worldwide have introduced fuel consumption/ economy or CO</w:t>
      </w:r>
      <w:r w:rsidRPr="002F1297">
        <w:rPr>
          <w:rFonts w:asciiTheme="majorBidi" w:hAnsiTheme="majorBidi" w:cstheme="majorBidi"/>
          <w:sz w:val="24"/>
          <w:szCs w:val="24"/>
          <w:vertAlign w:val="subscript"/>
        </w:rPr>
        <w:t>2</w:t>
      </w:r>
      <w:r w:rsidRPr="002F1297">
        <w:rPr>
          <w:rFonts w:asciiTheme="majorBidi" w:hAnsiTheme="majorBidi" w:cstheme="majorBidi"/>
          <w:sz w:val="24"/>
          <w:szCs w:val="24"/>
        </w:rPr>
        <w:t xml:space="preserve"> emissions standards towards the end of improving vehicles energy efficiency. A number of initiatives around the world have been introduced to help countries with regard to fuel efficiency/ economy standards. The Global Fuel Economy Initiative (GFEI) comes as an effort of five organizations</w:t>
      </w:r>
      <w:r w:rsidRPr="002F1297">
        <w:rPr>
          <w:rFonts w:asciiTheme="majorBidi" w:hAnsiTheme="majorBidi" w:cstheme="majorBidi"/>
          <w:sz w:val="24"/>
          <w:szCs w:val="24"/>
          <w:vertAlign w:val="superscript"/>
        </w:rPr>
        <w:footnoteReference w:id="1"/>
      </w:r>
      <w:r w:rsidRPr="002F1297">
        <w:rPr>
          <w:rFonts w:asciiTheme="majorBidi" w:hAnsiTheme="majorBidi" w:cstheme="majorBidi"/>
          <w:sz w:val="24"/>
          <w:szCs w:val="24"/>
        </w:rPr>
        <w:t xml:space="preserve"> to promote improvements in vehicle fuel economy. This initiative aims to achieve 50 % improvements by 2050 in all vehicles globally compared to that in the year 2005. The initiative’s main activities include: data development and analysis, policy support, and awareness raising (GFEI, 2013).</w:t>
      </w:r>
    </w:p>
    <w:p w14:paraId="140ABA53" w14:textId="77777777" w:rsidR="002F1297" w:rsidRPr="002F1297" w:rsidRDefault="002F1297" w:rsidP="00B42281">
      <w:pPr>
        <w:pStyle w:val="Heading2"/>
      </w:pPr>
      <w:bookmarkStart w:id="3" w:name="_Toc400533323"/>
      <w:bookmarkStart w:id="4" w:name="_Toc402703196"/>
      <w:r w:rsidRPr="002F1297">
        <w:t>Objectives</w:t>
      </w:r>
      <w:bookmarkEnd w:id="3"/>
      <w:bookmarkEnd w:id="4"/>
    </w:p>
    <w:p w14:paraId="7A9ACD14"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In line with the United Nations Environmental Program (UNEP) work on promoting sustainability and the GFEI’s efforts in prompting the introduction of more energy efficient vehicles, this report comes as part of sequel aiming to analyze the status and trends of fuel consumption/economy standards in at least four Arab countries as the region still lacks fuel consumption/economy standards. This report presents an anal</w:t>
      </w:r>
      <w:r>
        <w:rPr>
          <w:rFonts w:asciiTheme="majorBidi" w:hAnsiTheme="majorBidi" w:cstheme="majorBidi"/>
          <w:sz w:val="24"/>
          <w:szCs w:val="24"/>
        </w:rPr>
        <w:t>ysis of the Moroccan</w:t>
      </w:r>
      <w:r w:rsidRPr="002F1297">
        <w:rPr>
          <w:rFonts w:asciiTheme="majorBidi" w:hAnsiTheme="majorBidi" w:cstheme="majorBidi"/>
          <w:sz w:val="24"/>
          <w:szCs w:val="24"/>
        </w:rPr>
        <w:t xml:space="preserve"> case study and eventually comes out with a discussion on how to </w:t>
      </w:r>
      <w:r>
        <w:rPr>
          <w:rFonts w:asciiTheme="majorBidi" w:hAnsiTheme="majorBidi" w:cstheme="majorBidi"/>
          <w:sz w:val="24"/>
          <w:szCs w:val="24"/>
        </w:rPr>
        <w:t>improve the fuel consumption/economy performance of the Moroccan LDVs fleet with the associated recommendations</w:t>
      </w:r>
      <w:r w:rsidRPr="002F1297">
        <w:rPr>
          <w:rFonts w:asciiTheme="majorBidi" w:hAnsiTheme="majorBidi" w:cstheme="majorBidi"/>
          <w:sz w:val="24"/>
          <w:szCs w:val="24"/>
        </w:rPr>
        <w:t>.</w:t>
      </w:r>
    </w:p>
    <w:p w14:paraId="1FBA6AAF" w14:textId="77777777" w:rsidR="002F1297" w:rsidRPr="002F1297" w:rsidRDefault="002F1297" w:rsidP="00B42281">
      <w:pPr>
        <w:pStyle w:val="Heading2"/>
      </w:pPr>
      <w:bookmarkStart w:id="5" w:name="_Toc400533324"/>
      <w:bookmarkStart w:id="6" w:name="_Toc402703197"/>
      <w:r w:rsidRPr="002F1297">
        <w:t>Approach</w:t>
      </w:r>
      <w:bookmarkEnd w:id="5"/>
      <w:bookmarkEnd w:id="6"/>
    </w:p>
    <w:p w14:paraId="4D9B7D23"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The report is about the trend patterns in fuel consumption/economy and CO</w:t>
      </w:r>
      <w:r w:rsidRPr="002F1297">
        <w:rPr>
          <w:rFonts w:asciiTheme="majorBidi" w:hAnsiTheme="majorBidi" w:cstheme="majorBidi"/>
          <w:sz w:val="24"/>
          <w:szCs w:val="24"/>
          <w:vertAlign w:val="subscript"/>
        </w:rPr>
        <w:t>2</w:t>
      </w:r>
      <w:r w:rsidRPr="002F1297">
        <w:rPr>
          <w:rFonts w:asciiTheme="majorBidi" w:hAnsiTheme="majorBidi" w:cstheme="majorBidi"/>
          <w:sz w:val="24"/>
          <w:szCs w:val="24"/>
        </w:rPr>
        <w:t xml:space="preserve"> emissions.  It views the status of emissions and fuel consumption through the lens of changing weighted averages for new Light Duty Vehicles (LDVs) for the</w:t>
      </w:r>
      <w:r>
        <w:rPr>
          <w:rFonts w:asciiTheme="majorBidi" w:hAnsiTheme="majorBidi" w:cstheme="majorBidi"/>
          <w:sz w:val="24"/>
          <w:szCs w:val="24"/>
        </w:rPr>
        <w:t xml:space="preserve"> years 2009, 2012 and 2013</w:t>
      </w:r>
      <w:r w:rsidRPr="002F1297">
        <w:rPr>
          <w:rFonts w:asciiTheme="majorBidi" w:hAnsiTheme="majorBidi" w:cstheme="majorBidi"/>
          <w:sz w:val="24"/>
          <w:szCs w:val="24"/>
        </w:rPr>
        <w:t>. Thus the report provides a sense of changing state of emissions an</w:t>
      </w:r>
      <w:r>
        <w:rPr>
          <w:rFonts w:asciiTheme="majorBidi" w:hAnsiTheme="majorBidi" w:cstheme="majorBidi"/>
          <w:sz w:val="24"/>
          <w:szCs w:val="24"/>
        </w:rPr>
        <w:t>d Fuel consumption in Morocco.</w:t>
      </w:r>
    </w:p>
    <w:p w14:paraId="611C7F14"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Accordingly, figures for sales of new Light Duty vehicles have been obtained along with the official figures for CO</w:t>
      </w:r>
      <w:r w:rsidRPr="002F1297">
        <w:rPr>
          <w:rFonts w:asciiTheme="majorBidi" w:hAnsiTheme="majorBidi" w:cstheme="majorBidi"/>
          <w:sz w:val="24"/>
          <w:szCs w:val="24"/>
          <w:vertAlign w:val="subscript"/>
        </w:rPr>
        <w:t>2</w:t>
      </w:r>
      <w:r w:rsidRPr="002F1297">
        <w:rPr>
          <w:rFonts w:asciiTheme="majorBidi" w:hAnsiTheme="majorBidi" w:cstheme="majorBidi"/>
          <w:sz w:val="24"/>
          <w:szCs w:val="24"/>
        </w:rPr>
        <w:t xml:space="preserve"> emissions and fuel consumption for almost all the models. Figures for total LDVs on the road for the study years have also been obtained to put the trends in perspective and to feed into the report’s discussion on improving fuel consumption/economy and the associated recommendations. </w:t>
      </w:r>
    </w:p>
    <w:p w14:paraId="1D441A87"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Figures for new LDVs sales</w:t>
      </w:r>
      <w:r>
        <w:rPr>
          <w:rFonts w:asciiTheme="majorBidi" w:hAnsiTheme="majorBidi" w:cstheme="majorBidi"/>
          <w:sz w:val="24"/>
          <w:szCs w:val="24"/>
        </w:rPr>
        <w:t xml:space="preserve"> in 2009, 2012 and 2013</w:t>
      </w:r>
      <w:r w:rsidRPr="002F1297">
        <w:rPr>
          <w:rFonts w:asciiTheme="majorBidi" w:hAnsiTheme="majorBidi" w:cstheme="majorBidi"/>
          <w:sz w:val="24"/>
          <w:szCs w:val="24"/>
        </w:rPr>
        <w:t xml:space="preserve"> have been obtained from manufacturers and were collected by an automotive markets consultant, Matthias Gasnier.  For reliability, the </w:t>
      </w:r>
      <w:r w:rsidRPr="002F1297">
        <w:rPr>
          <w:rFonts w:asciiTheme="majorBidi" w:hAnsiTheme="majorBidi" w:cstheme="majorBidi"/>
          <w:sz w:val="24"/>
          <w:szCs w:val="24"/>
        </w:rPr>
        <w:lastRenderedPageBreak/>
        <w:t>figures were cross-checked with sample figures for new LDVS sales from IHS consulting as well as total figures of different model sales in Tunisia obtained from the International Organization of Motor Vehicle Manufacturers (OICA). Further, figures obtained from the Egyptian Manufacturers Information Council (AMIC) were used as well in cross-checking. Data are classified by Vehicle’s make; model; fuel type and engine size.</w:t>
      </w:r>
    </w:p>
    <w:p w14:paraId="58BA74F9"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Manufacturers’ specifications manual and compilations of the French Environment and Energy Management Agency (</w:t>
      </w:r>
      <w:proofErr w:type="spellStart"/>
      <w:r w:rsidRPr="002F1297">
        <w:rPr>
          <w:rFonts w:asciiTheme="majorBidi" w:hAnsiTheme="majorBidi" w:cstheme="majorBidi"/>
          <w:sz w:val="24"/>
          <w:szCs w:val="24"/>
        </w:rPr>
        <w:t>Ademe</w:t>
      </w:r>
      <w:proofErr w:type="spellEnd"/>
      <w:r w:rsidRPr="002F1297">
        <w:rPr>
          <w:rFonts w:asciiTheme="majorBidi" w:hAnsiTheme="majorBidi" w:cstheme="majorBidi"/>
          <w:sz w:val="24"/>
          <w:szCs w:val="24"/>
        </w:rPr>
        <w:t>) have been used to arrive at the manufacturers’ labeled figures for fuel consumption/economy and CO</w:t>
      </w:r>
      <w:r w:rsidRPr="002F1297">
        <w:rPr>
          <w:rFonts w:asciiTheme="majorBidi" w:hAnsiTheme="majorBidi" w:cstheme="majorBidi"/>
          <w:sz w:val="24"/>
          <w:szCs w:val="24"/>
          <w:vertAlign w:val="subscript"/>
        </w:rPr>
        <w:t>2</w:t>
      </w:r>
      <w:r w:rsidRPr="002F1297">
        <w:rPr>
          <w:rFonts w:asciiTheme="majorBidi" w:hAnsiTheme="majorBidi" w:cstheme="majorBidi"/>
          <w:sz w:val="24"/>
          <w:szCs w:val="24"/>
        </w:rPr>
        <w:t xml:space="preserve"> emissions. Then GFEI methodology (GFEI, 2014) has been used in calculating the weighted harmonic average annual fuel consumption/economy, and the weighted average annual CO</w:t>
      </w:r>
      <w:r w:rsidRPr="002F1297">
        <w:rPr>
          <w:rFonts w:asciiTheme="majorBidi" w:hAnsiTheme="majorBidi" w:cstheme="majorBidi"/>
          <w:sz w:val="24"/>
          <w:szCs w:val="24"/>
          <w:vertAlign w:val="subscript"/>
        </w:rPr>
        <w:t>2</w:t>
      </w:r>
      <w:r w:rsidRPr="002F1297">
        <w:rPr>
          <w:rFonts w:asciiTheme="majorBidi" w:hAnsiTheme="majorBidi" w:cstheme="majorBidi"/>
          <w:sz w:val="24"/>
          <w:szCs w:val="24"/>
        </w:rPr>
        <w:t xml:space="preserve"> emissions:</w:t>
      </w:r>
    </w:p>
    <w:p w14:paraId="04265CB0"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noProof/>
          <w:sz w:val="24"/>
          <w:szCs w:val="24"/>
        </w:rPr>
        <w:drawing>
          <wp:inline distT="0" distB="0" distL="0" distR="0" wp14:anchorId="36754F48" wp14:editId="4D6F53FF">
            <wp:extent cx="4115435"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435" cy="426720"/>
                    </a:xfrm>
                    <a:prstGeom prst="rect">
                      <a:avLst/>
                    </a:prstGeom>
                    <a:noFill/>
                  </pic:spPr>
                </pic:pic>
              </a:graphicData>
            </a:graphic>
          </wp:inline>
        </w:drawing>
      </w:r>
    </w:p>
    <w:p w14:paraId="4EBE7273"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noProof/>
          <w:sz w:val="24"/>
          <w:szCs w:val="24"/>
        </w:rPr>
        <w:drawing>
          <wp:inline distT="0" distB="0" distL="0" distR="0" wp14:anchorId="42F64B7B" wp14:editId="7DBA9275">
            <wp:extent cx="4115435" cy="37211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5435" cy="372110"/>
                    </a:xfrm>
                    <a:prstGeom prst="rect">
                      <a:avLst/>
                    </a:prstGeom>
                    <a:noFill/>
                  </pic:spPr>
                </pic:pic>
              </a:graphicData>
            </a:graphic>
          </wp:inline>
        </w:drawing>
      </w:r>
    </w:p>
    <w:p w14:paraId="7B398D8D" w14:textId="77777777" w:rsidR="002F1297" w:rsidRPr="002F1297" w:rsidRDefault="002F1297" w:rsidP="00E75255">
      <w:pPr>
        <w:jc w:val="both"/>
        <w:rPr>
          <w:rFonts w:asciiTheme="majorBidi" w:hAnsiTheme="majorBidi" w:cstheme="majorBidi"/>
          <w:sz w:val="24"/>
          <w:szCs w:val="24"/>
        </w:rPr>
      </w:pPr>
    </w:p>
    <w:p w14:paraId="69F84A03"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The definition of the GFEI for LDVs has been used in deciding on the vehicles to be included in the report study (GFEI, 2014). The definition is as follows:</w:t>
      </w:r>
    </w:p>
    <w:p w14:paraId="753C5597" w14:textId="77777777" w:rsidR="002F1297" w:rsidRPr="002F1297" w:rsidRDefault="002F1297" w:rsidP="00E75255">
      <w:pPr>
        <w:jc w:val="both"/>
        <w:rPr>
          <w:rFonts w:asciiTheme="majorBidi" w:hAnsiTheme="majorBidi" w:cstheme="majorBidi"/>
          <w:sz w:val="24"/>
          <w:szCs w:val="24"/>
        </w:rPr>
      </w:pPr>
    </w:p>
    <w:p w14:paraId="26AC6F67" w14:textId="77777777" w:rsidR="00B817FE"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 xml:space="preserve">Table </w:t>
      </w:r>
      <w:r w:rsidRPr="002F1297">
        <w:rPr>
          <w:rFonts w:asciiTheme="majorBidi" w:hAnsiTheme="majorBidi" w:cstheme="majorBidi"/>
          <w:sz w:val="24"/>
          <w:szCs w:val="24"/>
        </w:rPr>
        <w:fldChar w:fldCharType="begin"/>
      </w:r>
      <w:r w:rsidRPr="002F1297">
        <w:rPr>
          <w:rFonts w:asciiTheme="majorBidi" w:hAnsiTheme="majorBidi" w:cstheme="majorBidi"/>
          <w:sz w:val="24"/>
          <w:szCs w:val="24"/>
        </w:rPr>
        <w:instrText xml:space="preserve"> SEQ Table \* ARABIC </w:instrText>
      </w:r>
      <w:r w:rsidRPr="002F1297">
        <w:rPr>
          <w:rFonts w:asciiTheme="majorBidi" w:hAnsiTheme="majorBidi" w:cstheme="majorBidi"/>
          <w:sz w:val="24"/>
          <w:szCs w:val="24"/>
        </w:rPr>
        <w:fldChar w:fldCharType="separate"/>
      </w:r>
      <w:r w:rsidRPr="002F1297">
        <w:rPr>
          <w:rFonts w:asciiTheme="majorBidi" w:hAnsiTheme="majorBidi" w:cstheme="majorBidi"/>
          <w:sz w:val="24"/>
          <w:szCs w:val="24"/>
        </w:rPr>
        <w:t>1</w:t>
      </w:r>
      <w:r w:rsidRPr="002F1297">
        <w:rPr>
          <w:rFonts w:asciiTheme="majorBidi" w:hAnsiTheme="majorBidi" w:cstheme="majorBidi"/>
          <w:sz w:val="24"/>
          <w:szCs w:val="24"/>
        </w:rPr>
        <w:fldChar w:fldCharType="end"/>
      </w:r>
      <w:r w:rsidRPr="002F1297">
        <w:rPr>
          <w:rFonts w:asciiTheme="majorBidi" w:hAnsiTheme="majorBidi" w:cstheme="majorBidi"/>
          <w:sz w:val="24"/>
          <w:szCs w:val="24"/>
        </w:rPr>
        <w:t xml:space="preserve">: The GFEI definition of LDVs </w:t>
      </w:r>
    </w:p>
    <w:tbl>
      <w:tblPr>
        <w:tblStyle w:val="LightList1"/>
        <w:tblW w:w="0" w:type="auto"/>
        <w:tblInd w:w="108" w:type="dxa"/>
        <w:tblLook w:val="04A0" w:firstRow="1" w:lastRow="0" w:firstColumn="1" w:lastColumn="0" w:noHBand="0" w:noVBand="1"/>
      </w:tblPr>
      <w:tblGrid>
        <w:gridCol w:w="6096"/>
        <w:gridCol w:w="3260"/>
      </w:tblGrid>
      <w:tr w:rsidR="009F6C9A" w:rsidRPr="00751FBF" w14:paraId="6AD74F2F" w14:textId="77777777" w:rsidTr="003B67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hideMark/>
          </w:tcPr>
          <w:p w14:paraId="403A8B79" w14:textId="77777777" w:rsidR="009F6C9A" w:rsidRPr="00751FBF" w:rsidRDefault="009F6C9A" w:rsidP="00E75255">
            <w:pPr>
              <w:jc w:val="both"/>
              <w:rPr>
                <w:rFonts w:eastAsia="Times New Roman" w:cs="Times New Roman"/>
                <w:sz w:val="20"/>
                <w:szCs w:val="20"/>
              </w:rPr>
            </w:pPr>
            <w:r w:rsidRPr="00751FBF">
              <w:rPr>
                <w:rFonts w:eastAsia="Times New Roman" w:cs="Times New Roman"/>
                <w:sz w:val="20"/>
                <w:szCs w:val="20"/>
              </w:rPr>
              <w:t>Vehicle Segment</w:t>
            </w:r>
          </w:p>
        </w:tc>
        <w:tc>
          <w:tcPr>
            <w:tcW w:w="3260" w:type="dxa"/>
            <w:hideMark/>
          </w:tcPr>
          <w:p w14:paraId="21057E9F" w14:textId="77777777" w:rsidR="009F6C9A" w:rsidRPr="00751FBF" w:rsidRDefault="009F6C9A" w:rsidP="00E75255">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rPr>
            </w:pPr>
            <w:r w:rsidRPr="00751FBF">
              <w:rPr>
                <w:rFonts w:eastAsia="Times New Roman" w:cs="Times New Roman"/>
                <w:sz w:val="20"/>
                <w:szCs w:val="20"/>
              </w:rPr>
              <w:t>Examples</w:t>
            </w:r>
          </w:p>
        </w:tc>
      </w:tr>
      <w:tr w:rsidR="009F6C9A" w:rsidRPr="00EC09A7" w14:paraId="7BC08B0F" w14:textId="77777777" w:rsidTr="003B6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hideMark/>
          </w:tcPr>
          <w:p w14:paraId="6105AB78"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color w:val="444444"/>
                <w:sz w:val="20"/>
                <w:szCs w:val="20"/>
              </w:rPr>
              <w:t>A: Mini / Micro / Small town car</w:t>
            </w:r>
            <w:r w:rsidRPr="00E67D02">
              <w:rPr>
                <w:rFonts w:eastAsia="Times New Roman" w:cs="Times New Roman"/>
                <w:color w:val="444444"/>
                <w:sz w:val="20"/>
                <w:szCs w:val="20"/>
              </w:rPr>
              <w:br/>
            </w:r>
            <w:r w:rsidRPr="00E67D02">
              <w:rPr>
                <w:rFonts w:eastAsia="Times New Roman" w:cs="Times New Roman"/>
                <w:i/>
                <w:iCs/>
                <w:color w:val="444444"/>
                <w:sz w:val="20"/>
                <w:szCs w:val="20"/>
              </w:rPr>
              <w:t>Smallest cars, with a length between 2.50m to 3.60m.</w:t>
            </w:r>
          </w:p>
        </w:tc>
        <w:tc>
          <w:tcPr>
            <w:tcW w:w="3260" w:type="dxa"/>
            <w:hideMark/>
          </w:tcPr>
          <w:p w14:paraId="318FFBED" w14:textId="77777777" w:rsidR="009F6C9A" w:rsidRPr="003639EC" w:rsidRDefault="009F6C9A" w:rsidP="00E7525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lang w:val="sv-SE"/>
              </w:rPr>
            </w:pPr>
            <w:r w:rsidRPr="003639EC">
              <w:rPr>
                <w:rFonts w:eastAsia="Times New Roman" w:cs="Times New Roman"/>
                <w:color w:val="444444"/>
                <w:sz w:val="20"/>
                <w:szCs w:val="20"/>
                <w:lang w:val="sv-SE"/>
              </w:rPr>
              <w:t xml:space="preserve">Citroën C1 </w:t>
            </w:r>
            <w:r w:rsidRPr="003639EC">
              <w:rPr>
                <w:rFonts w:eastAsia="Times New Roman" w:cs="Times New Roman"/>
                <w:color w:val="444444"/>
                <w:sz w:val="20"/>
                <w:szCs w:val="20"/>
                <w:lang w:val="sv-SE"/>
              </w:rPr>
              <w:br/>
              <w:t>Fiat Panda</w:t>
            </w:r>
            <w:r w:rsidRPr="003639EC">
              <w:rPr>
                <w:rFonts w:eastAsia="Times New Roman" w:cs="Times New Roman"/>
                <w:color w:val="444444"/>
                <w:sz w:val="20"/>
                <w:szCs w:val="20"/>
                <w:lang w:val="sv-SE"/>
              </w:rPr>
              <w:br/>
              <w:t>Smart Fortwo</w:t>
            </w:r>
          </w:p>
        </w:tc>
      </w:tr>
      <w:tr w:rsidR="009F6C9A" w:rsidRPr="00E67D02" w14:paraId="7FCD504C" w14:textId="77777777" w:rsidTr="003B672D">
        <w:tc>
          <w:tcPr>
            <w:cnfStyle w:val="001000000000" w:firstRow="0" w:lastRow="0" w:firstColumn="1" w:lastColumn="0" w:oddVBand="0" w:evenVBand="0" w:oddHBand="0" w:evenHBand="0" w:firstRowFirstColumn="0" w:firstRowLastColumn="0" w:lastRowFirstColumn="0" w:lastRowLastColumn="0"/>
            <w:tcW w:w="6096" w:type="dxa"/>
            <w:hideMark/>
          </w:tcPr>
          <w:p w14:paraId="24A3C818"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color w:val="444444"/>
                <w:sz w:val="20"/>
                <w:szCs w:val="20"/>
              </w:rPr>
              <w:t>B: Small compact</w:t>
            </w:r>
          </w:p>
          <w:p w14:paraId="3A400E1F"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i/>
                <w:iCs/>
                <w:color w:val="444444"/>
                <w:sz w:val="20"/>
                <w:szCs w:val="20"/>
              </w:rPr>
              <w:t>Slightly more powerful than the Minis; still primarily for urban use; length between 3.60m and 4.05m</w:t>
            </w:r>
          </w:p>
        </w:tc>
        <w:tc>
          <w:tcPr>
            <w:tcW w:w="3260" w:type="dxa"/>
            <w:hideMark/>
          </w:tcPr>
          <w:p w14:paraId="466A8717" w14:textId="77777777" w:rsidR="009F6C9A" w:rsidRPr="00E67D02" w:rsidRDefault="009F6C9A" w:rsidP="00E75255">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Mitsubishi Colt </w:t>
            </w:r>
            <w:r w:rsidRPr="00E67D02">
              <w:rPr>
                <w:rFonts w:eastAsia="Times New Roman" w:cs="Times New Roman"/>
                <w:color w:val="444444"/>
                <w:sz w:val="20"/>
                <w:szCs w:val="20"/>
              </w:rPr>
              <w:br/>
              <w:t xml:space="preserve">Opel </w:t>
            </w:r>
            <w:proofErr w:type="spellStart"/>
            <w:r w:rsidRPr="00E67D02">
              <w:rPr>
                <w:rFonts w:eastAsia="Times New Roman" w:cs="Times New Roman"/>
                <w:color w:val="444444"/>
                <w:sz w:val="20"/>
                <w:szCs w:val="20"/>
              </w:rPr>
              <w:t>Corsa</w:t>
            </w:r>
            <w:proofErr w:type="spellEnd"/>
            <w:r w:rsidRPr="00E67D02">
              <w:rPr>
                <w:rFonts w:eastAsia="Times New Roman" w:cs="Times New Roman"/>
                <w:color w:val="444444"/>
                <w:sz w:val="20"/>
                <w:szCs w:val="20"/>
              </w:rPr>
              <w:t xml:space="preserve"> </w:t>
            </w:r>
            <w:r w:rsidRPr="00E67D02">
              <w:rPr>
                <w:rFonts w:eastAsia="Times New Roman" w:cs="Times New Roman"/>
                <w:color w:val="444444"/>
                <w:sz w:val="20"/>
                <w:szCs w:val="20"/>
              </w:rPr>
              <w:br/>
              <w:t>Suzuki Swift</w:t>
            </w:r>
          </w:p>
        </w:tc>
      </w:tr>
      <w:tr w:rsidR="009F6C9A" w:rsidRPr="00EC09A7" w14:paraId="3F0D215B" w14:textId="77777777" w:rsidTr="003B6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hideMark/>
          </w:tcPr>
          <w:p w14:paraId="028E76BD"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color w:val="444444"/>
                <w:sz w:val="20"/>
                <w:szCs w:val="20"/>
              </w:rPr>
              <w:t>C: Compact</w:t>
            </w:r>
          </w:p>
          <w:p w14:paraId="2E6DDF58"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i/>
                <w:iCs/>
                <w:color w:val="444444"/>
                <w:sz w:val="20"/>
                <w:szCs w:val="20"/>
              </w:rPr>
              <w:t>Length between 4.05m – 4.50m</w:t>
            </w:r>
          </w:p>
        </w:tc>
        <w:tc>
          <w:tcPr>
            <w:tcW w:w="3260" w:type="dxa"/>
            <w:hideMark/>
          </w:tcPr>
          <w:p w14:paraId="481DECAA" w14:textId="77777777" w:rsidR="009F6C9A" w:rsidRPr="003639EC" w:rsidRDefault="009F6C9A" w:rsidP="00E7525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lang w:val="es-ES"/>
              </w:rPr>
            </w:pPr>
            <w:r w:rsidRPr="003639EC">
              <w:rPr>
                <w:rFonts w:eastAsia="Times New Roman" w:cs="Times New Roman"/>
                <w:color w:val="444444"/>
                <w:sz w:val="20"/>
                <w:szCs w:val="20"/>
                <w:lang w:val="es-ES"/>
              </w:rPr>
              <w:t xml:space="preserve">Mazda 3 </w:t>
            </w:r>
            <w:r w:rsidRPr="003639EC">
              <w:rPr>
                <w:rFonts w:eastAsia="Times New Roman" w:cs="Times New Roman"/>
                <w:color w:val="444444"/>
                <w:sz w:val="20"/>
                <w:szCs w:val="20"/>
                <w:lang w:val="es-ES"/>
              </w:rPr>
              <w:br/>
            </w:r>
            <w:proofErr w:type="spellStart"/>
            <w:r w:rsidRPr="003639EC">
              <w:rPr>
                <w:rFonts w:eastAsia="Times New Roman" w:cs="Times New Roman"/>
                <w:color w:val="444444"/>
                <w:sz w:val="20"/>
                <w:szCs w:val="20"/>
                <w:lang w:val="es-ES"/>
              </w:rPr>
              <w:t>Subaru</w:t>
            </w:r>
            <w:proofErr w:type="spellEnd"/>
            <w:r w:rsidRPr="003639EC">
              <w:rPr>
                <w:rFonts w:eastAsia="Times New Roman" w:cs="Times New Roman"/>
                <w:color w:val="444444"/>
                <w:sz w:val="20"/>
                <w:szCs w:val="20"/>
                <w:lang w:val="es-ES"/>
              </w:rPr>
              <w:t xml:space="preserve"> </w:t>
            </w:r>
            <w:proofErr w:type="spellStart"/>
            <w:r w:rsidRPr="003639EC">
              <w:rPr>
                <w:rFonts w:eastAsia="Times New Roman" w:cs="Times New Roman"/>
                <w:color w:val="444444"/>
                <w:sz w:val="20"/>
                <w:szCs w:val="20"/>
                <w:lang w:val="es-ES"/>
              </w:rPr>
              <w:t>Impreza</w:t>
            </w:r>
            <w:proofErr w:type="spellEnd"/>
            <w:r w:rsidRPr="003639EC">
              <w:rPr>
                <w:rFonts w:eastAsia="Times New Roman" w:cs="Times New Roman"/>
                <w:color w:val="444444"/>
                <w:sz w:val="20"/>
                <w:szCs w:val="20"/>
                <w:lang w:val="es-ES"/>
              </w:rPr>
              <w:br/>
              <w:t>Volvo S40</w:t>
            </w:r>
          </w:p>
        </w:tc>
      </w:tr>
      <w:tr w:rsidR="009F6C9A" w:rsidRPr="00E67D02" w14:paraId="15D1BBCE" w14:textId="77777777" w:rsidTr="003B672D">
        <w:tc>
          <w:tcPr>
            <w:cnfStyle w:val="001000000000" w:firstRow="0" w:lastRow="0" w:firstColumn="1" w:lastColumn="0" w:oddVBand="0" w:evenVBand="0" w:oddHBand="0" w:evenHBand="0" w:firstRowFirstColumn="0" w:firstRowLastColumn="0" w:lastRowFirstColumn="0" w:lastRowLastColumn="0"/>
            <w:tcW w:w="6096" w:type="dxa"/>
            <w:hideMark/>
          </w:tcPr>
          <w:p w14:paraId="75C5739A"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color w:val="444444"/>
                <w:sz w:val="20"/>
                <w:szCs w:val="20"/>
              </w:rPr>
              <w:t>D: Family cars</w:t>
            </w:r>
          </w:p>
          <w:p w14:paraId="32F0C917"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i/>
                <w:iCs/>
                <w:color w:val="444444"/>
                <w:sz w:val="20"/>
                <w:szCs w:val="20"/>
              </w:rPr>
              <w:t>Designed for longer distance; fits 5- 6 people; length is 4.50m to 4.80m</w:t>
            </w:r>
          </w:p>
        </w:tc>
        <w:tc>
          <w:tcPr>
            <w:tcW w:w="3260" w:type="dxa"/>
            <w:hideMark/>
          </w:tcPr>
          <w:p w14:paraId="5A5F51CB" w14:textId="77777777" w:rsidR="009F6C9A" w:rsidRPr="00E67D02" w:rsidRDefault="009F6C9A" w:rsidP="00E75255">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BMW 3 series </w:t>
            </w:r>
            <w:r w:rsidRPr="00E67D02">
              <w:rPr>
                <w:rFonts w:eastAsia="Times New Roman" w:cs="Times New Roman"/>
                <w:color w:val="444444"/>
                <w:sz w:val="20"/>
                <w:szCs w:val="20"/>
              </w:rPr>
              <w:br/>
              <w:t xml:space="preserve">Chrysler Sebring </w:t>
            </w:r>
            <w:r w:rsidRPr="00E67D02">
              <w:rPr>
                <w:rFonts w:eastAsia="Times New Roman" w:cs="Times New Roman"/>
                <w:color w:val="444444"/>
                <w:sz w:val="20"/>
                <w:szCs w:val="20"/>
              </w:rPr>
              <w:br/>
              <w:t>Lexus IS</w:t>
            </w:r>
          </w:p>
        </w:tc>
      </w:tr>
      <w:tr w:rsidR="009F6C9A" w:rsidRPr="00E67D02" w14:paraId="2C68EF9F" w14:textId="77777777" w:rsidTr="003B6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2A1E8642"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color w:val="444444"/>
                <w:sz w:val="20"/>
                <w:szCs w:val="20"/>
              </w:rPr>
              <w:t>Light vans</w:t>
            </w:r>
          </w:p>
          <w:p w14:paraId="70116332"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i/>
                <w:iCs/>
                <w:color w:val="444444"/>
                <w:sz w:val="20"/>
                <w:szCs w:val="20"/>
              </w:rPr>
              <w:t>Size is similar to D, but interior volume is maximized to accommodate larger families</w:t>
            </w:r>
          </w:p>
        </w:tc>
        <w:tc>
          <w:tcPr>
            <w:tcW w:w="3260" w:type="dxa"/>
            <w:shd w:val="clear" w:color="auto" w:fill="auto"/>
            <w:hideMark/>
          </w:tcPr>
          <w:p w14:paraId="66177178" w14:textId="77777777" w:rsidR="009F6C9A" w:rsidRPr="00E67D02" w:rsidRDefault="009F6C9A" w:rsidP="00E7525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Chevrolet </w:t>
            </w:r>
            <w:proofErr w:type="spellStart"/>
            <w:r w:rsidRPr="00E67D02">
              <w:rPr>
                <w:rFonts w:eastAsia="Times New Roman" w:cs="Times New Roman"/>
                <w:color w:val="444444"/>
                <w:sz w:val="20"/>
                <w:szCs w:val="20"/>
              </w:rPr>
              <w:t>Uplander</w:t>
            </w:r>
            <w:proofErr w:type="spellEnd"/>
            <w:r w:rsidRPr="00E67D02">
              <w:rPr>
                <w:rFonts w:eastAsia="Times New Roman" w:cs="Times New Roman"/>
                <w:color w:val="444444"/>
                <w:sz w:val="20"/>
                <w:szCs w:val="20"/>
              </w:rPr>
              <w:t xml:space="preserve"> </w:t>
            </w:r>
            <w:r w:rsidRPr="00E67D02">
              <w:rPr>
                <w:rFonts w:eastAsia="Times New Roman" w:cs="Times New Roman"/>
                <w:color w:val="444444"/>
                <w:sz w:val="20"/>
                <w:szCs w:val="20"/>
              </w:rPr>
              <w:br/>
              <w:t>Ford Galaxy</w:t>
            </w:r>
            <w:r w:rsidRPr="00E67D02">
              <w:rPr>
                <w:rFonts w:eastAsia="Times New Roman" w:cs="Times New Roman"/>
                <w:color w:val="444444"/>
                <w:sz w:val="20"/>
                <w:szCs w:val="20"/>
              </w:rPr>
              <w:br/>
              <w:t xml:space="preserve">Volkswagen </w:t>
            </w:r>
            <w:proofErr w:type="spellStart"/>
            <w:r w:rsidRPr="00E67D02">
              <w:rPr>
                <w:rFonts w:eastAsia="Times New Roman" w:cs="Times New Roman"/>
                <w:color w:val="444444"/>
                <w:sz w:val="20"/>
                <w:szCs w:val="20"/>
              </w:rPr>
              <w:t>Sharan</w:t>
            </w:r>
            <w:proofErr w:type="spellEnd"/>
          </w:p>
        </w:tc>
      </w:tr>
      <w:tr w:rsidR="009F6C9A" w:rsidRPr="00E67D02" w14:paraId="3F148375" w14:textId="77777777" w:rsidTr="003B672D">
        <w:tc>
          <w:tcPr>
            <w:cnfStyle w:val="001000000000" w:firstRow="0" w:lastRow="0" w:firstColumn="1" w:lastColumn="0" w:oddVBand="0" w:evenVBand="0" w:oddHBand="0" w:evenHBand="0" w:firstRowFirstColumn="0" w:firstRowLastColumn="0" w:lastRowFirstColumn="0" w:lastRowLastColumn="0"/>
            <w:tcW w:w="6096" w:type="dxa"/>
            <w:shd w:val="clear" w:color="auto" w:fill="auto"/>
            <w:hideMark/>
          </w:tcPr>
          <w:p w14:paraId="50BD773C"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color w:val="444444"/>
                <w:sz w:val="20"/>
                <w:szCs w:val="20"/>
              </w:rPr>
              <w:t>Big / Full size cars</w:t>
            </w:r>
            <w:r w:rsidRPr="00E67D02">
              <w:rPr>
                <w:rFonts w:eastAsia="Times New Roman" w:cs="Times New Roman"/>
                <w:color w:val="444444"/>
                <w:sz w:val="20"/>
                <w:szCs w:val="20"/>
              </w:rPr>
              <w:br/>
            </w:r>
            <w:r w:rsidRPr="00E67D02">
              <w:rPr>
                <w:rFonts w:eastAsia="Times New Roman" w:cs="Times New Roman"/>
                <w:i/>
                <w:iCs/>
                <w:color w:val="444444"/>
                <w:sz w:val="20"/>
                <w:szCs w:val="20"/>
              </w:rPr>
              <w:t>Have generous leg room; can comfortably transport 5 - 6 people; generally have</w:t>
            </w:r>
            <w:r w:rsidRPr="00E67D02">
              <w:rPr>
                <w:rFonts w:eastAsia="Times New Roman" w:cs="Times New Roman"/>
                <w:i/>
                <w:iCs/>
                <w:color w:val="444444"/>
                <w:sz w:val="20"/>
                <w:szCs w:val="20"/>
              </w:rPr>
              <w:br/>
              <w:t>V8 engines and are 5m or longer in length</w:t>
            </w:r>
          </w:p>
        </w:tc>
        <w:tc>
          <w:tcPr>
            <w:tcW w:w="3260" w:type="dxa"/>
            <w:shd w:val="clear" w:color="auto" w:fill="auto"/>
            <w:hideMark/>
          </w:tcPr>
          <w:p w14:paraId="0F9415C9" w14:textId="77777777" w:rsidR="009F6C9A" w:rsidRPr="00E67D02" w:rsidRDefault="009F6C9A" w:rsidP="00E75255">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Cadillac DTS </w:t>
            </w:r>
            <w:r w:rsidRPr="00E67D02">
              <w:rPr>
                <w:rFonts w:eastAsia="Times New Roman" w:cs="Times New Roman"/>
                <w:color w:val="444444"/>
                <w:sz w:val="20"/>
                <w:szCs w:val="20"/>
              </w:rPr>
              <w:br/>
              <w:t xml:space="preserve">Jaguar XJ </w:t>
            </w:r>
            <w:r w:rsidRPr="00E67D02">
              <w:rPr>
                <w:rFonts w:eastAsia="Times New Roman" w:cs="Times New Roman"/>
                <w:color w:val="444444"/>
                <w:sz w:val="20"/>
                <w:szCs w:val="20"/>
              </w:rPr>
              <w:br/>
              <w:t>Mercedes-Benz E Class</w:t>
            </w:r>
          </w:p>
        </w:tc>
      </w:tr>
      <w:tr w:rsidR="009F6C9A" w:rsidRPr="00E67D02" w14:paraId="75B1E3F9" w14:textId="77777777" w:rsidTr="003B67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6" w:type="dxa"/>
            <w:hideMark/>
          </w:tcPr>
          <w:p w14:paraId="1103E544"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color w:val="444444"/>
                <w:sz w:val="20"/>
                <w:szCs w:val="20"/>
              </w:rPr>
              <w:lastRenderedPageBreak/>
              <w:t>SUV / All terrain</w:t>
            </w:r>
          </w:p>
          <w:p w14:paraId="5D7F194C" w14:textId="77777777" w:rsidR="009F6C9A" w:rsidRPr="00E67D02" w:rsidRDefault="009F6C9A" w:rsidP="00E75255">
            <w:pPr>
              <w:jc w:val="both"/>
              <w:rPr>
                <w:rFonts w:eastAsia="Times New Roman" w:cs="Times New Roman"/>
                <w:color w:val="444444"/>
                <w:sz w:val="20"/>
                <w:szCs w:val="20"/>
              </w:rPr>
            </w:pPr>
            <w:r w:rsidRPr="00E67D02">
              <w:rPr>
                <w:rFonts w:eastAsia="Times New Roman" w:cs="Times New Roman"/>
                <w:i/>
                <w:iCs/>
                <w:color w:val="444444"/>
                <w:sz w:val="20"/>
                <w:szCs w:val="20"/>
              </w:rPr>
              <w:t>The original cars were utility cross-country vehicles with integral transmissions like the Jeep</w:t>
            </w:r>
          </w:p>
        </w:tc>
        <w:tc>
          <w:tcPr>
            <w:tcW w:w="3260" w:type="dxa"/>
            <w:hideMark/>
          </w:tcPr>
          <w:p w14:paraId="6FFA7044" w14:textId="77777777" w:rsidR="009F6C9A" w:rsidRPr="00E67D02" w:rsidRDefault="009F6C9A" w:rsidP="00E75255">
            <w:pPr>
              <w:jc w:val="both"/>
              <w:cnfStyle w:val="000000100000" w:firstRow="0" w:lastRow="0" w:firstColumn="0" w:lastColumn="0" w:oddVBand="0" w:evenVBand="0" w:oddHBand="1" w:evenHBand="0" w:firstRowFirstColumn="0" w:firstRowLastColumn="0" w:lastRowFirstColumn="0" w:lastRowLastColumn="0"/>
              <w:rPr>
                <w:rFonts w:eastAsia="Times New Roman" w:cs="Times New Roman"/>
                <w:color w:val="444444"/>
                <w:sz w:val="20"/>
                <w:szCs w:val="20"/>
              </w:rPr>
            </w:pPr>
            <w:r w:rsidRPr="00E67D02">
              <w:rPr>
                <w:rFonts w:eastAsia="Times New Roman" w:cs="Times New Roman"/>
                <w:color w:val="444444"/>
                <w:sz w:val="20"/>
                <w:szCs w:val="20"/>
              </w:rPr>
              <w:t xml:space="preserve">Dodge Durango </w:t>
            </w:r>
            <w:r w:rsidRPr="00E67D02">
              <w:rPr>
                <w:rFonts w:eastAsia="Times New Roman" w:cs="Times New Roman"/>
                <w:color w:val="444444"/>
                <w:sz w:val="20"/>
                <w:szCs w:val="20"/>
              </w:rPr>
              <w:br/>
              <w:t xml:space="preserve">Jeep Grand Cherokee </w:t>
            </w:r>
            <w:r w:rsidRPr="00E67D02">
              <w:rPr>
                <w:rFonts w:eastAsia="Times New Roman" w:cs="Times New Roman"/>
                <w:color w:val="444444"/>
                <w:sz w:val="20"/>
                <w:szCs w:val="20"/>
              </w:rPr>
              <w:br/>
              <w:t>Nissan Patrol</w:t>
            </w:r>
            <w:r w:rsidRPr="00E67D02">
              <w:rPr>
                <w:rFonts w:eastAsia="Times New Roman" w:cs="Times New Roman"/>
                <w:color w:val="444444"/>
                <w:sz w:val="20"/>
                <w:szCs w:val="20"/>
              </w:rPr>
              <w:br/>
              <w:t>Toyota Land Cruiser</w:t>
            </w:r>
          </w:p>
        </w:tc>
      </w:tr>
    </w:tbl>
    <w:tbl>
      <w:tblPr>
        <w:tblW w:w="12710" w:type="dxa"/>
        <w:tblInd w:w="108" w:type="dxa"/>
        <w:tblLook w:val="04A0" w:firstRow="1" w:lastRow="0" w:firstColumn="1" w:lastColumn="0" w:noHBand="0" w:noVBand="1"/>
      </w:tblPr>
      <w:tblGrid>
        <w:gridCol w:w="9450"/>
        <w:gridCol w:w="3260"/>
      </w:tblGrid>
      <w:tr w:rsidR="00616116" w:rsidRPr="002F1297" w14:paraId="0FE860A0" w14:textId="77777777" w:rsidTr="00616116">
        <w:trPr>
          <w:gridAfter w:val="1"/>
          <w:wAfter w:w="3260" w:type="dxa"/>
        </w:trPr>
        <w:tc>
          <w:tcPr>
            <w:tcW w:w="9450" w:type="dxa"/>
          </w:tcPr>
          <w:p w14:paraId="4483D0A7" w14:textId="77777777" w:rsidR="00616116" w:rsidRPr="002F1297" w:rsidRDefault="00616116" w:rsidP="002F1297">
            <w:pPr>
              <w:rPr>
                <w:rFonts w:asciiTheme="majorBidi" w:hAnsiTheme="majorBidi" w:cstheme="majorBidi"/>
                <w:sz w:val="24"/>
                <w:szCs w:val="24"/>
              </w:rPr>
            </w:pPr>
          </w:p>
        </w:tc>
      </w:tr>
      <w:tr w:rsidR="00616116" w:rsidRPr="002F1297" w14:paraId="4CBE525F" w14:textId="77777777" w:rsidTr="00616116">
        <w:trPr>
          <w:gridAfter w:val="1"/>
          <w:wAfter w:w="3260" w:type="dxa"/>
        </w:trPr>
        <w:tc>
          <w:tcPr>
            <w:tcW w:w="9450" w:type="dxa"/>
          </w:tcPr>
          <w:p w14:paraId="60CF9850" w14:textId="77777777" w:rsidR="00616116" w:rsidRPr="00616116" w:rsidRDefault="00616116" w:rsidP="00B42281">
            <w:pPr>
              <w:pStyle w:val="Heading2"/>
            </w:pPr>
            <w:bookmarkStart w:id="7" w:name="_Toc402703198"/>
            <w:r w:rsidRPr="00616116">
              <w:t>Limitations</w:t>
            </w:r>
            <w:bookmarkEnd w:id="7"/>
          </w:p>
          <w:p w14:paraId="17132C20" w14:textId="77777777" w:rsidR="00616116" w:rsidRPr="00616116" w:rsidRDefault="00DE0CE9" w:rsidP="00E75255">
            <w:pPr>
              <w:jc w:val="both"/>
              <w:rPr>
                <w:rFonts w:asciiTheme="majorBidi" w:hAnsiTheme="majorBidi" w:cstheme="majorBidi"/>
                <w:sz w:val="24"/>
                <w:szCs w:val="24"/>
              </w:rPr>
            </w:pPr>
            <w:r>
              <w:rPr>
                <w:rFonts w:asciiTheme="majorBidi" w:hAnsiTheme="majorBidi" w:cstheme="majorBidi"/>
                <w:sz w:val="24"/>
                <w:szCs w:val="24"/>
              </w:rPr>
              <w:t>Morocco</w:t>
            </w:r>
            <w:r w:rsidR="00616116" w:rsidRPr="00616116">
              <w:rPr>
                <w:rFonts w:asciiTheme="majorBidi" w:hAnsiTheme="majorBidi" w:cstheme="majorBidi"/>
                <w:sz w:val="24"/>
                <w:szCs w:val="24"/>
              </w:rPr>
              <w:t xml:space="preserve"> has no indigenous driving c</w:t>
            </w:r>
            <w:r>
              <w:rPr>
                <w:rFonts w:asciiTheme="majorBidi" w:hAnsiTheme="majorBidi" w:cstheme="majorBidi"/>
                <w:sz w:val="24"/>
                <w:szCs w:val="24"/>
              </w:rPr>
              <w:t>ycle. Since the Moroccan</w:t>
            </w:r>
            <w:r w:rsidR="00616116" w:rsidRPr="00616116">
              <w:rPr>
                <w:rFonts w:asciiTheme="majorBidi" w:hAnsiTheme="majorBidi" w:cstheme="majorBidi"/>
                <w:sz w:val="24"/>
                <w:szCs w:val="24"/>
              </w:rPr>
              <w:t xml:space="preserve"> market is</w:t>
            </w:r>
            <w:r>
              <w:rPr>
                <w:rFonts w:asciiTheme="majorBidi" w:hAnsiTheme="majorBidi" w:cstheme="majorBidi"/>
                <w:sz w:val="24"/>
                <w:szCs w:val="24"/>
              </w:rPr>
              <w:t xml:space="preserve"> by far determined</w:t>
            </w:r>
            <w:r w:rsidR="00616116" w:rsidRPr="00616116">
              <w:rPr>
                <w:rFonts w:asciiTheme="majorBidi" w:hAnsiTheme="majorBidi" w:cstheme="majorBidi"/>
                <w:sz w:val="24"/>
                <w:szCs w:val="24"/>
              </w:rPr>
              <w:t xml:space="preserve"> with the European one, the study team obtained data for fuel economy/consumption based on the New European Driving Cycle (NEDC).</w:t>
            </w:r>
            <w:r w:rsidR="007C27C4">
              <w:rPr>
                <w:rFonts w:asciiTheme="majorBidi" w:hAnsiTheme="majorBidi" w:cstheme="majorBidi"/>
                <w:sz w:val="24"/>
                <w:szCs w:val="24"/>
              </w:rPr>
              <w:t xml:space="preserve">   </w:t>
            </w:r>
          </w:p>
          <w:p w14:paraId="55909327" w14:textId="77777777" w:rsidR="00616116" w:rsidRDefault="00616116" w:rsidP="00E75255">
            <w:pPr>
              <w:jc w:val="both"/>
              <w:rPr>
                <w:rFonts w:asciiTheme="majorBidi" w:hAnsiTheme="majorBidi" w:cstheme="majorBidi"/>
                <w:sz w:val="24"/>
                <w:szCs w:val="24"/>
              </w:rPr>
            </w:pPr>
            <w:r w:rsidRPr="00616116">
              <w:rPr>
                <w:rFonts w:asciiTheme="majorBidi" w:hAnsiTheme="majorBidi" w:cstheme="majorBidi"/>
                <w:sz w:val="24"/>
                <w:szCs w:val="24"/>
              </w:rPr>
              <w:t>Because for some models the emissions figures were not available, the report eliminated those models from its analysis. Those mo</w:t>
            </w:r>
            <w:r w:rsidR="007C27C4">
              <w:rPr>
                <w:rFonts w:asciiTheme="majorBidi" w:hAnsiTheme="majorBidi" w:cstheme="majorBidi"/>
                <w:sz w:val="24"/>
                <w:szCs w:val="24"/>
              </w:rPr>
              <w:t>dels have made up a maximum of 0.6</w:t>
            </w:r>
            <w:r w:rsidRPr="00616116">
              <w:rPr>
                <w:rFonts w:asciiTheme="majorBidi" w:hAnsiTheme="majorBidi" w:cstheme="majorBidi"/>
                <w:sz w:val="24"/>
                <w:szCs w:val="24"/>
              </w:rPr>
              <w:t xml:space="preserve"> % of all models all over the study years. Another limitation is the new LDVs sold through unauthorized dealers and parallel markets which are not to exceed 10% of total new LDVs sales. Therefore the studied new LDVS in the report co</w:t>
            </w:r>
            <w:r w:rsidR="004945B9">
              <w:rPr>
                <w:rFonts w:asciiTheme="majorBidi" w:hAnsiTheme="majorBidi" w:cstheme="majorBidi"/>
                <w:sz w:val="24"/>
                <w:szCs w:val="24"/>
              </w:rPr>
              <w:t>mprise 90</w:t>
            </w:r>
            <w:r w:rsidRPr="00616116">
              <w:rPr>
                <w:rFonts w:asciiTheme="majorBidi" w:hAnsiTheme="majorBidi" w:cstheme="majorBidi"/>
                <w:sz w:val="24"/>
                <w:szCs w:val="24"/>
              </w:rPr>
              <w:t>% of total new LDVS in Tunisia for the study years, at worst.</w:t>
            </w:r>
          </w:p>
          <w:p w14:paraId="266A1C9B" w14:textId="77777777" w:rsidR="00E1401D" w:rsidRPr="00616116" w:rsidRDefault="00E1401D" w:rsidP="00E75255">
            <w:pPr>
              <w:jc w:val="both"/>
              <w:rPr>
                <w:rFonts w:asciiTheme="majorBidi" w:hAnsiTheme="majorBidi" w:cstheme="majorBidi"/>
                <w:sz w:val="24"/>
                <w:szCs w:val="24"/>
              </w:rPr>
            </w:pPr>
            <w:r>
              <w:rPr>
                <w:rFonts w:asciiTheme="majorBidi" w:hAnsiTheme="majorBidi" w:cstheme="majorBidi"/>
                <w:sz w:val="24"/>
                <w:szCs w:val="24"/>
              </w:rPr>
              <w:t>The Moroccan LDVs sale figures are perceived to have very sensitive commercial value and hence the process obtaining the LDVs sales figures were met with significant obstacles. The study team instead managed to obtain the sales figures for the years 2009, 2012 and 2013.</w:t>
            </w:r>
            <w:r w:rsidR="008A2C13">
              <w:rPr>
                <w:rFonts w:asciiTheme="majorBidi" w:hAnsiTheme="majorBidi" w:cstheme="majorBidi"/>
                <w:sz w:val="24"/>
                <w:szCs w:val="24"/>
              </w:rPr>
              <w:t xml:space="preserve">   Caution therefore must be observed on making comparisons between the Moroccan and Tunisian cases</w:t>
            </w:r>
          </w:p>
          <w:p w14:paraId="4FD82D31" w14:textId="77777777" w:rsidR="00616116" w:rsidRDefault="00616116" w:rsidP="00E75255">
            <w:pPr>
              <w:jc w:val="both"/>
              <w:rPr>
                <w:rFonts w:asciiTheme="majorBidi" w:hAnsiTheme="majorBidi" w:cstheme="majorBidi"/>
                <w:sz w:val="24"/>
                <w:szCs w:val="24"/>
              </w:rPr>
            </w:pPr>
          </w:p>
          <w:p w14:paraId="334A8432" w14:textId="77777777" w:rsidR="00616116" w:rsidRPr="00927E4B" w:rsidRDefault="00616116" w:rsidP="00E75255">
            <w:pPr>
              <w:jc w:val="both"/>
              <w:rPr>
                <w:rFonts w:asciiTheme="majorBidi" w:hAnsiTheme="majorBidi" w:cstheme="majorBidi"/>
                <w:sz w:val="24"/>
                <w:szCs w:val="24"/>
              </w:rPr>
            </w:pPr>
            <w:r>
              <w:rPr>
                <w:rFonts w:asciiTheme="majorBidi" w:hAnsiTheme="majorBidi" w:cstheme="majorBidi"/>
                <w:sz w:val="24"/>
                <w:szCs w:val="24"/>
              </w:rPr>
              <w:t xml:space="preserve">                                                                                                                   </w:t>
            </w:r>
          </w:p>
        </w:tc>
      </w:tr>
      <w:tr w:rsidR="002F1297" w:rsidRPr="002F1297" w14:paraId="4A6F20DB" w14:textId="77777777" w:rsidTr="00616116">
        <w:tc>
          <w:tcPr>
            <w:tcW w:w="9450" w:type="dxa"/>
          </w:tcPr>
          <w:p w14:paraId="3C6AE90B" w14:textId="77777777" w:rsidR="002F1297" w:rsidRPr="002F1297" w:rsidRDefault="002F1297" w:rsidP="002F1297">
            <w:pPr>
              <w:rPr>
                <w:rFonts w:asciiTheme="majorBidi" w:hAnsiTheme="majorBidi" w:cstheme="majorBidi"/>
                <w:sz w:val="24"/>
                <w:szCs w:val="24"/>
              </w:rPr>
            </w:pPr>
          </w:p>
        </w:tc>
        <w:tc>
          <w:tcPr>
            <w:tcW w:w="3260" w:type="dxa"/>
          </w:tcPr>
          <w:p w14:paraId="6C7B1F5D" w14:textId="77777777" w:rsidR="002F1297" w:rsidRPr="002F1297" w:rsidRDefault="00B817FE" w:rsidP="00E75255">
            <w:pPr>
              <w:jc w:val="both"/>
              <w:rPr>
                <w:rFonts w:asciiTheme="majorBidi" w:hAnsiTheme="majorBidi" w:cstheme="majorBidi"/>
                <w:sz w:val="24"/>
                <w:szCs w:val="24"/>
              </w:rPr>
            </w:pPr>
            <w:r>
              <w:rPr>
                <w:rFonts w:asciiTheme="majorBidi" w:hAnsiTheme="majorBidi" w:cstheme="majorBidi"/>
                <w:sz w:val="24"/>
                <w:szCs w:val="24"/>
              </w:rPr>
              <w:t xml:space="preserve">         </w:t>
            </w:r>
          </w:p>
        </w:tc>
      </w:tr>
      <w:tr w:rsidR="002F1297" w:rsidRPr="002F1297" w14:paraId="5CD87B5C" w14:textId="77777777" w:rsidTr="00616116">
        <w:tc>
          <w:tcPr>
            <w:tcW w:w="9450" w:type="dxa"/>
          </w:tcPr>
          <w:p w14:paraId="244C44F5" w14:textId="77777777" w:rsidR="002F1297" w:rsidRPr="002F1297" w:rsidRDefault="00616116" w:rsidP="00E75255">
            <w:pPr>
              <w:jc w:val="both"/>
              <w:rPr>
                <w:rFonts w:asciiTheme="majorBidi" w:hAnsiTheme="majorBidi" w:cstheme="majorBidi"/>
                <w:sz w:val="24"/>
                <w:szCs w:val="24"/>
              </w:rPr>
            </w:pPr>
            <w:r>
              <w:rPr>
                <w:rFonts w:asciiTheme="majorBidi" w:hAnsiTheme="majorBidi" w:cstheme="majorBidi"/>
                <w:sz w:val="24"/>
                <w:szCs w:val="24"/>
              </w:rPr>
              <w:t xml:space="preserve">  </w:t>
            </w:r>
          </w:p>
        </w:tc>
        <w:tc>
          <w:tcPr>
            <w:tcW w:w="3260" w:type="dxa"/>
          </w:tcPr>
          <w:p w14:paraId="1CFE24DA" w14:textId="77777777" w:rsidR="002F1297" w:rsidRPr="002F1297" w:rsidRDefault="002F1297" w:rsidP="002F1297">
            <w:pPr>
              <w:rPr>
                <w:rFonts w:asciiTheme="majorBidi" w:hAnsiTheme="majorBidi" w:cstheme="majorBidi"/>
                <w:sz w:val="24"/>
                <w:szCs w:val="24"/>
                <w:lang w:val="es-ES"/>
              </w:rPr>
            </w:pPr>
          </w:p>
        </w:tc>
      </w:tr>
      <w:tr w:rsidR="002F1297" w:rsidRPr="002F1297" w14:paraId="5256308E" w14:textId="77777777" w:rsidTr="00616116">
        <w:tc>
          <w:tcPr>
            <w:tcW w:w="9450" w:type="dxa"/>
          </w:tcPr>
          <w:p w14:paraId="78017327" w14:textId="77777777" w:rsidR="002F1297" w:rsidRPr="002F1297" w:rsidRDefault="002F1297" w:rsidP="002F1297">
            <w:pPr>
              <w:rPr>
                <w:rFonts w:asciiTheme="majorBidi" w:hAnsiTheme="majorBidi" w:cstheme="majorBidi"/>
                <w:sz w:val="24"/>
                <w:szCs w:val="24"/>
              </w:rPr>
            </w:pPr>
          </w:p>
        </w:tc>
        <w:tc>
          <w:tcPr>
            <w:tcW w:w="3260" w:type="dxa"/>
          </w:tcPr>
          <w:p w14:paraId="6AAB8D3C" w14:textId="77777777" w:rsidR="002F1297" w:rsidRPr="002F1297" w:rsidRDefault="002F1297" w:rsidP="002F1297">
            <w:pPr>
              <w:rPr>
                <w:rFonts w:asciiTheme="majorBidi" w:hAnsiTheme="majorBidi" w:cstheme="majorBidi"/>
                <w:sz w:val="24"/>
                <w:szCs w:val="24"/>
              </w:rPr>
            </w:pPr>
          </w:p>
        </w:tc>
      </w:tr>
      <w:tr w:rsidR="002F1297" w:rsidRPr="002F1297" w14:paraId="06315D2B" w14:textId="77777777" w:rsidTr="00616116">
        <w:tc>
          <w:tcPr>
            <w:tcW w:w="9450" w:type="dxa"/>
            <w:shd w:val="clear" w:color="auto" w:fill="auto"/>
          </w:tcPr>
          <w:p w14:paraId="4F9197CB" w14:textId="77777777" w:rsidR="002F1297" w:rsidRPr="002F1297" w:rsidRDefault="002F1297" w:rsidP="002F1297">
            <w:pPr>
              <w:rPr>
                <w:rFonts w:asciiTheme="majorBidi" w:hAnsiTheme="majorBidi" w:cstheme="majorBidi"/>
                <w:sz w:val="24"/>
                <w:szCs w:val="24"/>
              </w:rPr>
            </w:pPr>
          </w:p>
        </w:tc>
        <w:tc>
          <w:tcPr>
            <w:tcW w:w="3260" w:type="dxa"/>
            <w:shd w:val="clear" w:color="auto" w:fill="auto"/>
          </w:tcPr>
          <w:p w14:paraId="1F792947" w14:textId="77777777" w:rsidR="002F1297" w:rsidRPr="002F1297" w:rsidRDefault="00B817FE" w:rsidP="00E75255">
            <w:pPr>
              <w:jc w:val="both"/>
              <w:rPr>
                <w:rFonts w:asciiTheme="majorBidi" w:hAnsiTheme="majorBidi" w:cstheme="majorBidi"/>
                <w:sz w:val="24"/>
                <w:szCs w:val="24"/>
              </w:rPr>
            </w:pPr>
            <w:r>
              <w:rPr>
                <w:rFonts w:asciiTheme="majorBidi" w:hAnsiTheme="majorBidi" w:cstheme="majorBidi"/>
                <w:sz w:val="24"/>
                <w:szCs w:val="24"/>
              </w:rPr>
              <w:t xml:space="preserve">     </w:t>
            </w:r>
          </w:p>
        </w:tc>
      </w:tr>
      <w:tr w:rsidR="002F1297" w:rsidRPr="002F1297" w14:paraId="7CF5D9F5" w14:textId="77777777" w:rsidTr="00616116">
        <w:tc>
          <w:tcPr>
            <w:tcW w:w="9450" w:type="dxa"/>
            <w:shd w:val="clear" w:color="auto" w:fill="auto"/>
          </w:tcPr>
          <w:p w14:paraId="2ECFDBF7" w14:textId="77777777" w:rsidR="002F1297" w:rsidRPr="002F1297" w:rsidRDefault="002F1297" w:rsidP="002F1297">
            <w:pPr>
              <w:rPr>
                <w:rFonts w:asciiTheme="majorBidi" w:hAnsiTheme="majorBidi" w:cstheme="majorBidi"/>
                <w:sz w:val="24"/>
                <w:szCs w:val="24"/>
              </w:rPr>
            </w:pPr>
          </w:p>
        </w:tc>
        <w:tc>
          <w:tcPr>
            <w:tcW w:w="3260" w:type="dxa"/>
            <w:shd w:val="clear" w:color="auto" w:fill="auto"/>
          </w:tcPr>
          <w:p w14:paraId="7736660C" w14:textId="77777777" w:rsidR="002F1297" w:rsidRPr="002F1297" w:rsidRDefault="002F1297" w:rsidP="002F1297">
            <w:pPr>
              <w:rPr>
                <w:rFonts w:asciiTheme="majorBidi" w:hAnsiTheme="majorBidi" w:cstheme="majorBidi"/>
                <w:sz w:val="24"/>
                <w:szCs w:val="24"/>
              </w:rPr>
            </w:pPr>
          </w:p>
        </w:tc>
      </w:tr>
      <w:tr w:rsidR="002F1297" w:rsidRPr="002F1297" w14:paraId="1251C8A1" w14:textId="77777777" w:rsidTr="00616116">
        <w:tc>
          <w:tcPr>
            <w:tcW w:w="9450" w:type="dxa"/>
          </w:tcPr>
          <w:p w14:paraId="7EB79917" w14:textId="77777777" w:rsidR="002F1297" w:rsidRPr="002F1297" w:rsidRDefault="002F1297" w:rsidP="002F1297">
            <w:pPr>
              <w:rPr>
                <w:rFonts w:asciiTheme="majorBidi" w:hAnsiTheme="majorBidi" w:cstheme="majorBidi"/>
                <w:sz w:val="24"/>
                <w:szCs w:val="24"/>
              </w:rPr>
            </w:pPr>
          </w:p>
        </w:tc>
        <w:tc>
          <w:tcPr>
            <w:tcW w:w="3260" w:type="dxa"/>
          </w:tcPr>
          <w:p w14:paraId="647908C1" w14:textId="77777777" w:rsidR="002F1297" w:rsidRPr="002F1297" w:rsidRDefault="002F1297" w:rsidP="002F1297">
            <w:pPr>
              <w:rPr>
                <w:rFonts w:asciiTheme="majorBidi" w:hAnsiTheme="majorBidi" w:cstheme="majorBidi"/>
                <w:sz w:val="24"/>
                <w:szCs w:val="24"/>
              </w:rPr>
            </w:pPr>
          </w:p>
        </w:tc>
      </w:tr>
    </w:tbl>
    <w:p w14:paraId="668A8D45" w14:textId="77777777" w:rsidR="002F1297" w:rsidRPr="002F1297" w:rsidRDefault="002F1297" w:rsidP="00E75255">
      <w:pPr>
        <w:jc w:val="both"/>
        <w:rPr>
          <w:rFonts w:asciiTheme="majorBidi" w:hAnsiTheme="majorBidi" w:cstheme="majorBidi"/>
          <w:sz w:val="24"/>
          <w:szCs w:val="24"/>
        </w:rPr>
      </w:pPr>
    </w:p>
    <w:p w14:paraId="6C5A8687" w14:textId="77777777" w:rsidR="00B42281" w:rsidRDefault="00B42281" w:rsidP="00E75255">
      <w:pPr>
        <w:jc w:val="both"/>
        <w:rPr>
          <w:rFonts w:asciiTheme="majorBidi" w:hAnsiTheme="majorBidi" w:cstheme="majorBidi"/>
          <w:b/>
          <w:bCs/>
          <w:sz w:val="24"/>
          <w:szCs w:val="24"/>
        </w:rPr>
      </w:pPr>
      <w:bookmarkStart w:id="8" w:name="_Toc400533326"/>
    </w:p>
    <w:p w14:paraId="67E7C98C" w14:textId="77777777" w:rsidR="002F1297" w:rsidRPr="00B817FE" w:rsidRDefault="002F1297" w:rsidP="00B42281">
      <w:pPr>
        <w:pStyle w:val="Heading1"/>
      </w:pPr>
      <w:bookmarkStart w:id="9" w:name="_Toc402703199"/>
      <w:r w:rsidRPr="00B817FE">
        <w:lastRenderedPageBreak/>
        <w:t>Background information</w:t>
      </w:r>
      <w:bookmarkEnd w:id="8"/>
      <w:bookmarkEnd w:id="9"/>
    </w:p>
    <w:p w14:paraId="422BFE43" w14:textId="77777777" w:rsidR="00B42281" w:rsidRDefault="00B42281" w:rsidP="00E75255">
      <w:pPr>
        <w:jc w:val="both"/>
        <w:rPr>
          <w:rFonts w:asciiTheme="majorBidi" w:hAnsiTheme="majorBidi" w:cstheme="majorBidi"/>
          <w:b/>
          <w:bCs/>
          <w:sz w:val="24"/>
          <w:szCs w:val="24"/>
        </w:rPr>
      </w:pPr>
      <w:bookmarkStart w:id="10" w:name="_Toc400533327"/>
    </w:p>
    <w:p w14:paraId="2CC63A97" w14:textId="77777777" w:rsidR="002F1297" w:rsidRPr="00B817FE" w:rsidRDefault="002F1297" w:rsidP="00B42281">
      <w:pPr>
        <w:pStyle w:val="Heading2"/>
      </w:pPr>
      <w:bookmarkStart w:id="11" w:name="_Toc402703200"/>
      <w:r w:rsidRPr="00B817FE">
        <w:t>Fuel Economy</w:t>
      </w:r>
      <w:bookmarkEnd w:id="10"/>
      <w:bookmarkEnd w:id="11"/>
    </w:p>
    <w:p w14:paraId="4BC27C0F"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Fuel economy is a measure of the maximum distance that can be covered by a vehicle per unit of fuel. The most common metric of fuel economy is miles per gallon (mpg), which is especially, used in the United States. Kilometers per liter can also be used.</w:t>
      </w:r>
    </w:p>
    <w:p w14:paraId="7F1E370B" w14:textId="77777777" w:rsidR="002F1297" w:rsidRPr="00B817FE" w:rsidRDefault="002F1297" w:rsidP="00E75255">
      <w:pPr>
        <w:jc w:val="both"/>
        <w:rPr>
          <w:rFonts w:asciiTheme="majorBidi" w:hAnsiTheme="majorBidi" w:cstheme="majorBidi"/>
          <w:b/>
          <w:bCs/>
          <w:i/>
          <w:iCs/>
          <w:sz w:val="24"/>
          <w:szCs w:val="24"/>
        </w:rPr>
      </w:pPr>
      <w:r w:rsidRPr="00B817FE">
        <w:rPr>
          <w:rFonts w:asciiTheme="majorBidi" w:hAnsiTheme="majorBidi" w:cstheme="majorBidi"/>
          <w:b/>
          <w:bCs/>
          <w:i/>
          <w:iCs/>
          <w:sz w:val="24"/>
          <w:szCs w:val="24"/>
        </w:rPr>
        <w:t>Fuel Consumption</w:t>
      </w:r>
    </w:p>
    <w:p w14:paraId="45329AE8" w14:textId="77777777" w:rsidR="002F1297" w:rsidRPr="001A0D7E" w:rsidRDefault="002F1297" w:rsidP="00E75255">
      <w:pPr>
        <w:jc w:val="both"/>
        <w:rPr>
          <w:rFonts w:asciiTheme="majorBidi" w:hAnsiTheme="majorBidi" w:cstheme="majorBidi"/>
          <w:b/>
          <w:bCs/>
          <w:sz w:val="24"/>
          <w:szCs w:val="24"/>
        </w:rPr>
      </w:pPr>
      <w:r w:rsidRPr="002F1297">
        <w:rPr>
          <w:rFonts w:asciiTheme="majorBidi" w:hAnsiTheme="majorBidi" w:cstheme="majorBidi"/>
          <w:sz w:val="24"/>
          <w:szCs w:val="24"/>
        </w:rPr>
        <w:t xml:space="preserve">Fuel consumption is the mathematical reciprocal of fuel economy. It is a measure of the amount of fuel consumed covering a given distance. It is measured in liters per 100 km in Europe and most of the world. In the United States it is measured in gallons per 100 miles. Being the reciprocal of fuel economy necessarily entails that for fuel consumption the relation. This in turn renders more instrumental in communicating the fuel savings, from improving fuel economy, in absolute terms to lay consumers. This is because the amount of fuel saved in improving fuel economy in the lower ranges of mpg is significantly higher than those at the higher ranges. Hence the benefits accrued from improving the fuel consumption of vehicles become more </w:t>
      </w:r>
      <w:r w:rsidRPr="001A0D7E">
        <w:rPr>
          <w:rFonts w:asciiTheme="majorBidi" w:hAnsiTheme="majorBidi" w:cstheme="majorBidi"/>
          <w:sz w:val="24"/>
          <w:szCs w:val="24"/>
        </w:rPr>
        <w:t>comprehensible to the average consumer</w:t>
      </w:r>
      <w:r w:rsidRPr="001A0D7E">
        <w:rPr>
          <w:rFonts w:asciiTheme="majorBidi" w:hAnsiTheme="majorBidi" w:cstheme="majorBidi"/>
          <w:b/>
          <w:bCs/>
          <w:sz w:val="24"/>
          <w:szCs w:val="24"/>
        </w:rPr>
        <w:t>.</w:t>
      </w:r>
    </w:p>
    <w:p w14:paraId="416D7E23" w14:textId="77777777" w:rsidR="002F1297" w:rsidRPr="001A0D7E" w:rsidRDefault="002F1297" w:rsidP="00B42281">
      <w:pPr>
        <w:pStyle w:val="Heading2"/>
      </w:pPr>
      <w:bookmarkStart w:id="12" w:name="_Toc400533328"/>
      <w:bookmarkStart w:id="13" w:name="_Toc402703201"/>
      <w:r w:rsidRPr="001A0D7E">
        <w:t>Factors Affecting Fuel/Consumption Economy</w:t>
      </w:r>
      <w:bookmarkEnd w:id="12"/>
      <w:bookmarkEnd w:id="13"/>
    </w:p>
    <w:p w14:paraId="208CE5F9"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The report tackles two broad types of vehicles classified according to the fuel they utilize. Petrol powered engines (petrol fuelled vehicles), referred to as spark ignition engines, rely for the most part on a thermodynamic cycle, called Otto cycle. For petrol engines, a spark plug is used to ignite an air/fuel mixture exerting work on piston, which moves vertically inside a hollow cylinder, then mechanically transmitted to</w:t>
      </w:r>
      <w:r w:rsidR="00B42281">
        <w:rPr>
          <w:rFonts w:asciiTheme="majorBidi" w:hAnsiTheme="majorBidi" w:cstheme="majorBidi"/>
          <w:sz w:val="24"/>
          <w:szCs w:val="24"/>
        </w:rPr>
        <w:t xml:space="preserve"> a crankshaft and through </w:t>
      </w:r>
      <w:proofErr w:type="gramStart"/>
      <w:r w:rsidR="00B42281">
        <w:rPr>
          <w:rFonts w:asciiTheme="majorBidi" w:hAnsiTheme="majorBidi" w:cstheme="majorBidi"/>
          <w:sz w:val="24"/>
          <w:szCs w:val="24"/>
        </w:rPr>
        <w:t xml:space="preserve">a </w:t>
      </w:r>
      <w:r w:rsidRPr="002F1297">
        <w:rPr>
          <w:rFonts w:asciiTheme="majorBidi" w:hAnsiTheme="majorBidi" w:cstheme="majorBidi"/>
          <w:sz w:val="24"/>
          <w:szCs w:val="24"/>
        </w:rPr>
        <w:t>clockwork</w:t>
      </w:r>
      <w:proofErr w:type="gramEnd"/>
      <w:r w:rsidRPr="002F1297">
        <w:rPr>
          <w:rFonts w:asciiTheme="majorBidi" w:hAnsiTheme="majorBidi" w:cstheme="majorBidi"/>
          <w:sz w:val="24"/>
          <w:szCs w:val="24"/>
        </w:rPr>
        <w:t xml:space="preserve"> of gears to the wheels. Diesel powered engines (Diesel fuelled vehicles) rely on heat generated from the compression of diesel/air mix for ignition and operating the pistons. For both types of internal combustion engines, 75% of the energy is wasted to coolants and exhaust with the rest doing the propelling work.</w:t>
      </w:r>
    </w:p>
    <w:p w14:paraId="585F5274" w14:textId="77777777" w:rsidR="002F1297" w:rsidRPr="001A0D7E" w:rsidRDefault="002F1297" w:rsidP="00E75255">
      <w:pPr>
        <w:jc w:val="both"/>
        <w:rPr>
          <w:rFonts w:asciiTheme="majorBidi" w:hAnsiTheme="majorBidi" w:cstheme="majorBidi"/>
          <w:b/>
          <w:bCs/>
          <w:i/>
          <w:iCs/>
          <w:sz w:val="24"/>
          <w:szCs w:val="24"/>
        </w:rPr>
      </w:pPr>
      <w:r w:rsidRPr="001A0D7E">
        <w:rPr>
          <w:rFonts w:asciiTheme="majorBidi" w:hAnsiTheme="majorBidi" w:cstheme="majorBidi"/>
          <w:b/>
          <w:bCs/>
          <w:i/>
          <w:iCs/>
          <w:sz w:val="24"/>
          <w:szCs w:val="24"/>
        </w:rPr>
        <w:t>Vehicle Energy efficiency</w:t>
      </w:r>
    </w:p>
    <w:p w14:paraId="5BEB138A"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 xml:space="preserve">Engine: The engine output power varies with its torque and speed. For each engine there </w:t>
      </w:r>
      <w:proofErr w:type="gramStart"/>
      <w:r w:rsidRPr="002F1297">
        <w:rPr>
          <w:rFonts w:asciiTheme="majorBidi" w:hAnsiTheme="majorBidi" w:cstheme="majorBidi"/>
          <w:sz w:val="24"/>
          <w:szCs w:val="24"/>
        </w:rPr>
        <w:t>is</w:t>
      </w:r>
      <w:proofErr w:type="gramEnd"/>
      <w:r w:rsidRPr="002F1297">
        <w:rPr>
          <w:rFonts w:asciiTheme="majorBidi" w:hAnsiTheme="majorBidi" w:cstheme="majorBidi"/>
          <w:sz w:val="24"/>
          <w:szCs w:val="24"/>
        </w:rPr>
        <w:t xml:space="preserve"> three dimensional curves plotting the output power against both Torque and speed. From this curve an optimum zone is located where the engine’s energy efficiency is maximized.  In reality the vehicles runs through various driving ranges and modes at points outside the energy efficient zone. Using turbo charging, smaller engines all drive engine towards operation at the maximum efficiency zone (Institute of Mechanical engineers, 2011).</w:t>
      </w:r>
    </w:p>
    <w:p w14:paraId="64598872" w14:textId="77777777" w:rsidR="002F1297" w:rsidRPr="002F1297" w:rsidRDefault="002F1297" w:rsidP="00E75255">
      <w:pPr>
        <w:numPr>
          <w:ilvl w:val="1"/>
          <w:numId w:val="1"/>
        </w:numPr>
        <w:jc w:val="both"/>
        <w:rPr>
          <w:rFonts w:asciiTheme="majorBidi" w:hAnsiTheme="majorBidi" w:cstheme="majorBidi"/>
          <w:sz w:val="24"/>
          <w:szCs w:val="24"/>
        </w:rPr>
      </w:pPr>
      <w:r w:rsidRPr="002F1297">
        <w:rPr>
          <w:rFonts w:asciiTheme="majorBidi" w:hAnsiTheme="majorBidi" w:cstheme="majorBidi"/>
          <w:sz w:val="24"/>
          <w:szCs w:val="24"/>
        </w:rPr>
        <w:t>Combustion interval: short combustion interval  allows for more of the generated heat to be used in driving the pistons</w:t>
      </w:r>
    </w:p>
    <w:p w14:paraId="59D46C28" w14:textId="77777777" w:rsidR="002F1297" w:rsidRPr="002F1297" w:rsidRDefault="002F1297" w:rsidP="00E75255">
      <w:pPr>
        <w:numPr>
          <w:ilvl w:val="1"/>
          <w:numId w:val="1"/>
        </w:numPr>
        <w:jc w:val="both"/>
        <w:rPr>
          <w:rFonts w:asciiTheme="majorBidi" w:hAnsiTheme="majorBidi" w:cstheme="majorBidi"/>
          <w:sz w:val="24"/>
          <w:szCs w:val="24"/>
        </w:rPr>
      </w:pPr>
      <w:r w:rsidRPr="002F1297">
        <w:rPr>
          <w:rFonts w:asciiTheme="majorBidi" w:hAnsiTheme="majorBidi" w:cstheme="majorBidi"/>
          <w:sz w:val="24"/>
          <w:szCs w:val="24"/>
        </w:rPr>
        <w:lastRenderedPageBreak/>
        <w:t>Higher compression ratio and optimized exhaust valve opening: Compression ratio is the volume between the volumes of the combustion chamber when the cylinder is at the bottom stroke to that when the cylinder is at top stroke. Better control of exhaust valve opening improves the energy efficiency of engine (Institute of Mechanical Engineers, 2011).</w:t>
      </w:r>
    </w:p>
    <w:p w14:paraId="45462634"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Pump losses: The pump losses result from pressure gradients along the piston, so it is the extra work required to suck air in and out of inlets (Chiaberge, 2011).</w:t>
      </w:r>
    </w:p>
    <w:p w14:paraId="2F347368"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Friction losses: Friction losses result from piston and crank shaft mechanical connections. Improving precision of cylinder dimensions minimizes piston friction losses. Crank shaft bearing design and features have a straightforward impact on the associated friction losses (Institute of Mechanical engineers, 2011).</w:t>
      </w:r>
    </w:p>
    <w:p w14:paraId="0A3C2072"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Oil and coolant pumps: following the wide-spread recommendations for reducing energy consumption of pumps are applicable for automotive engines.</w:t>
      </w:r>
    </w:p>
    <w:p w14:paraId="3FB569B7"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Power steering:  using electric drives for power steering reduces fuel consumption</w:t>
      </w:r>
    </w:p>
    <w:p w14:paraId="2DA56314"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Aerodynamics: air resistance to a vehicle’s traction, termed drag force is dependent on a factor called the drag coefficient. Reducing drag coefficient reduces fuel consumption</w:t>
      </w:r>
    </w:p>
    <w:p w14:paraId="3CD6C8B0"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Tire resistance: the mass of the car putting pressure on tires leads to energy losses. This resistance is a function of tire design and air pressure. Design options that reduce tire resistance may weigh on safety and levels of wear and tear. Optimum trade-offs must be reached.</w:t>
      </w:r>
    </w:p>
    <w:p w14:paraId="16DDDA49"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Transmission terrain: increasing the number of gear ratios reduces the losses in the transmission terrain. Several transmission technologies, such as planetary (differential gearboxes) and  dual-clutch transmission, are commercially available to date</w:t>
      </w:r>
    </w:p>
    <w:p w14:paraId="580BEDE5"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Stroke-To-Bore Ratio: This is the ratio between the length of the stroke and the diameter of the cylinder. As the stroke to bore ratio increases, air into the cylinder travels a longer distance reducing losses. As stroke to bore ratio decreases the surface area of  piston decreases  which leads to lesser friction losses for the crankshaft bearings  (Institute of mechanical Engineers, 2011)</w:t>
      </w:r>
    </w:p>
    <w:p w14:paraId="5CB2600D"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Number of balancing shafts: Those are shafts used for countering the vibration effects of cylinders. They have weight and inertia which consume energy thus reducing efficiency. Different engine classes use different number of balancing shafts (Stone, 1999).</w:t>
      </w:r>
    </w:p>
    <w:p w14:paraId="421BC836"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 xml:space="preserve">Vehicle Weight: Vehicle mass has a profound impact on vehicle’s fuel consumption.  Replacing steel with the lighter aluminum in alternative body structures, such as space frame is an approach. Another is the use of composite and carbon fiber materials which </w:t>
      </w:r>
      <w:r w:rsidRPr="002F1297">
        <w:rPr>
          <w:rFonts w:asciiTheme="majorBidi" w:hAnsiTheme="majorBidi" w:cstheme="majorBidi"/>
          <w:sz w:val="24"/>
          <w:szCs w:val="24"/>
        </w:rPr>
        <w:lastRenderedPageBreak/>
        <w:t xml:space="preserve">can be introduced into the mainstream body design. A combination of material availability, cost consideration and a downgrade of structural performance in aluminum based structures limit these approaches.  Another less radical approach involves using thinner steel, sandwiched steel (layers of aluminum and steel), or new steel designs. The downside of the said conventional approaches is jeopardizing stiffness, or increased costs (Institute of Mechanical Engineers, 2011). </w:t>
      </w:r>
    </w:p>
    <w:p w14:paraId="3EDC9243" w14:textId="77777777" w:rsidR="002F1297" w:rsidRPr="002F1297" w:rsidRDefault="002F1297" w:rsidP="00E75255">
      <w:pPr>
        <w:numPr>
          <w:ilvl w:val="0"/>
          <w:numId w:val="1"/>
        </w:numPr>
        <w:jc w:val="both"/>
        <w:rPr>
          <w:rFonts w:asciiTheme="majorBidi" w:hAnsiTheme="majorBidi" w:cstheme="majorBidi"/>
          <w:sz w:val="24"/>
          <w:szCs w:val="24"/>
        </w:rPr>
      </w:pPr>
      <w:r w:rsidRPr="002F1297">
        <w:rPr>
          <w:rFonts w:asciiTheme="majorBidi" w:hAnsiTheme="majorBidi" w:cstheme="majorBidi"/>
          <w:sz w:val="24"/>
          <w:szCs w:val="24"/>
        </w:rPr>
        <w:t xml:space="preserve">Fuel: The energy content per liter of diesel is higher than petrol and accordingly </w:t>
      </w:r>
      <w:proofErr w:type="gramStart"/>
      <w:r w:rsidRPr="002F1297">
        <w:rPr>
          <w:rFonts w:asciiTheme="majorBidi" w:hAnsiTheme="majorBidi" w:cstheme="majorBidi"/>
          <w:sz w:val="24"/>
          <w:szCs w:val="24"/>
        </w:rPr>
        <w:t>have</w:t>
      </w:r>
      <w:proofErr w:type="gramEnd"/>
      <w:r w:rsidRPr="002F1297">
        <w:rPr>
          <w:rFonts w:asciiTheme="majorBidi" w:hAnsiTheme="majorBidi" w:cstheme="majorBidi"/>
          <w:sz w:val="24"/>
          <w:szCs w:val="24"/>
        </w:rPr>
        <w:t xml:space="preserve"> a lower fuel consumption. Diesel’s carbon content is higher and so it emits more greenhouse gases on per liter basis. However, the lower fuel </w:t>
      </w:r>
      <w:proofErr w:type="gramStart"/>
      <w:r w:rsidRPr="002F1297">
        <w:rPr>
          <w:rFonts w:asciiTheme="majorBidi" w:hAnsiTheme="majorBidi" w:cstheme="majorBidi"/>
          <w:sz w:val="24"/>
          <w:szCs w:val="24"/>
        </w:rPr>
        <w:t>consumption  leads</w:t>
      </w:r>
      <w:proofErr w:type="gramEnd"/>
      <w:r w:rsidRPr="002F1297">
        <w:rPr>
          <w:rFonts w:asciiTheme="majorBidi" w:hAnsiTheme="majorBidi" w:cstheme="majorBidi"/>
          <w:sz w:val="24"/>
          <w:szCs w:val="24"/>
        </w:rPr>
        <w:t xml:space="preserve"> to diesel fuelled vehicles, generally, emitting less greenhouse gases than petrol fuelled ones  on kilometer basis. </w:t>
      </w:r>
    </w:p>
    <w:p w14:paraId="2EE3FB98"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It remains to be said that different commercially available technologies, used by different automotive manufacturer, address the abovementioned points. From the fuel consumption perspective, those technologies synergize, influence or constrain each other. Accordingly, arriving at the right combination of technologies that have an impact on reducing fuel consumption requires trade-offs between fuel consumption and other performance parameters.</w:t>
      </w:r>
    </w:p>
    <w:p w14:paraId="7B37B53B" w14:textId="77777777" w:rsidR="002F1297" w:rsidRPr="002F1297" w:rsidRDefault="002F1297" w:rsidP="00E75255">
      <w:pPr>
        <w:jc w:val="both"/>
        <w:rPr>
          <w:rFonts w:asciiTheme="majorBidi" w:hAnsiTheme="majorBidi" w:cstheme="majorBidi"/>
          <w:sz w:val="24"/>
          <w:szCs w:val="24"/>
        </w:rPr>
      </w:pPr>
    </w:p>
    <w:p w14:paraId="23308F6C" w14:textId="77777777" w:rsidR="002F1297" w:rsidRPr="001A0D7E" w:rsidRDefault="002F1297" w:rsidP="00B42281">
      <w:pPr>
        <w:pStyle w:val="Heading2"/>
      </w:pPr>
      <w:bookmarkStart w:id="14" w:name="_Toc400533329"/>
      <w:bookmarkStart w:id="15" w:name="_Toc402703202"/>
      <w:r w:rsidRPr="001A0D7E">
        <w:t>Fuel Economy Standards</w:t>
      </w:r>
      <w:bookmarkEnd w:id="14"/>
      <w:bookmarkEnd w:id="15"/>
    </w:p>
    <w:p w14:paraId="18FAE6CC"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Climate change, and the associated urge to  curtail the growth of greenhouse gas emissions by cutting down the consumption of fossil fuels, have combined with the uncertainties associated with volatile oil prices and the energy security challenges to bring the topic of reducing fuel consumption by vehicles to the fore of  global environmental and energy agendas. Light duty vehicles have the most significant weightage of all vehicles’ total fuel consumption.</w:t>
      </w:r>
    </w:p>
    <w:p w14:paraId="6C74DB4D"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In response, fuel economy standards have been   on debate, being variably adopted by different nations and transnational bodies, since the oil crisis of the seventies.</w:t>
      </w:r>
    </w:p>
    <w:p w14:paraId="5A0E05D8"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The European Union has set its fuel consumption/economy standards where manufacturers have to meet average fuel economy levels for their entire fleets (GFEI, 2014). The assigned value to each manufacturer is calculated on the basis of the mass of a vehicle giving manufacturers a level of flexibility to increase and decrease the fuel economy of their different models. It also allows higher values for heavier vehicles through what is termed a limit curve (Automobile Fuel Economy standards, 2010). Penalties are applied using a sliding scale.  The fuel economy limits continue to increase in response to regulation (Automobile Fuel Economy standards, 2010).</w:t>
      </w:r>
    </w:p>
    <w:p w14:paraId="67030675"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 xml:space="preserve">In a European context, the standards are realistic meeting lesser resistance from concerned civil society portions due to the predominance of small cars, efficient and widely-spread public transportation and the proliferation of the more efficient diesel vehicles. </w:t>
      </w:r>
    </w:p>
    <w:p w14:paraId="7A1BB248"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lastRenderedPageBreak/>
        <w:t>Japan followed in the footsteps of the EU with its own stringent weight-based standards (IPCC, 2007)</w:t>
      </w:r>
    </w:p>
    <w:p w14:paraId="1393770F"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The USA has been adopting fuel economy standards since the seventies which have been slightly waxing and waning over time for light trucks, and constant for passenger cars since 1990 (GFEI, 2014). Light Duty Vehicles were regulated using different standards for passenger cars and light trucks. The US standards count on fuel economy, unlike which target fuel consumption. The same average fuel efficiency was required from each manufacturer regardless of vehicle attributes. It was calculated by the following formula</w:t>
      </w:r>
    </w:p>
    <w:p w14:paraId="1B4B3A84"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noProof/>
          <w:sz w:val="24"/>
          <w:szCs w:val="24"/>
        </w:rPr>
        <w:drawing>
          <wp:inline distT="0" distB="0" distL="0" distR="0" wp14:anchorId="79919E77" wp14:editId="6279471F">
            <wp:extent cx="3438525" cy="1047750"/>
            <wp:effectExtent l="0" t="0" r="9525" b="0"/>
            <wp:docPr id="6" name="Picture 6" descr="http://www.c2es.org/docUploads/vehicle-standards-eq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2es.org/docUploads/vehicle-standards-equation-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14:paraId="3010990B"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(Source: Centre for Climate and Energy solutions, 2014)</w:t>
      </w:r>
    </w:p>
    <w:p w14:paraId="07CC1297"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 xml:space="preserve">The downside of this approach is that the playfield is not level for large vehicle segments since compliance is easier for smaller ones. The standards were assessed by experts to have led to fuel savings of billions of barrels of oil over the years (Government Accountability Office, 2008). </w:t>
      </w:r>
    </w:p>
    <w:p w14:paraId="3AF1EB4B"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With the support of the Obama administration, the US Environmental Protection Agency jointly with the National highway Traffic Safety administration has set fuel economy standards for 2017-2025 vehicles. Vehicles are classified on size basis for two broad categories: passenger cars and light trucks. Vehicle size (footprint) which is determined in a standardized way enters a formula that accounts as well for a manufacturer’s production or sales level. The standards are designed to accomplish a US fleet average fuel economy, by 2016, of at least 35.5 (GFEI, 2014). The target for 2025 is 54.5 mpg (New York Times, 2012). A shortcoming of that standards is restricting classifications of vehicles to size, which in light of the earlier discussion on the factors affecting energy efficiency of vehicles, is a factor among many.</w:t>
      </w:r>
    </w:p>
    <w:p w14:paraId="6DDC7E2D" w14:textId="77777777" w:rsidR="002F1297" w:rsidRPr="002F1297" w:rsidRDefault="002F1297" w:rsidP="00E75255">
      <w:pPr>
        <w:jc w:val="both"/>
        <w:rPr>
          <w:rFonts w:asciiTheme="majorBidi" w:hAnsiTheme="majorBidi" w:cstheme="majorBidi"/>
          <w:i/>
          <w:iCs/>
          <w:sz w:val="24"/>
          <w:szCs w:val="24"/>
        </w:rPr>
      </w:pPr>
    </w:p>
    <w:p w14:paraId="3EE16DB2" w14:textId="77777777" w:rsidR="002F1297" w:rsidRPr="002F1297" w:rsidRDefault="002F1297" w:rsidP="00B42281">
      <w:pPr>
        <w:pStyle w:val="Heading2"/>
      </w:pPr>
      <w:bookmarkStart w:id="16" w:name="_Toc400533330"/>
      <w:bookmarkStart w:id="17" w:name="_Toc402703203"/>
      <w:r w:rsidRPr="002F1297">
        <w:t>Driving Cycles</w:t>
      </w:r>
      <w:bookmarkEnd w:id="16"/>
      <w:bookmarkEnd w:id="17"/>
    </w:p>
    <w:p w14:paraId="693A2E7D" w14:textId="77777777" w:rsidR="002F1297" w:rsidRPr="002F1297"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t>Implementation of fuel economy standards requires the enforcing agency to test the fuel economy or consumption figures presented model manufacturers. The applicable driving cycle should mimic typical driving patterns, behavior stops, accelerations, speed ranges with duration for each of urban and highway driving. For comparison across vehicles, a combined or overall fuel consumption or economy cycle is used, combining urban and highway cycles with different weightage according to the cycle’s location origin. In the United States the used driving cycle is called Corporate Average Fuel Economy (CAFÉ). In Europe, the used driving cycle is called New European Driving Cycle (NEDC).</w:t>
      </w:r>
      <w:r w:rsidRPr="002F1297">
        <w:rPr>
          <w:rFonts w:asciiTheme="majorBidi" w:hAnsiTheme="majorBidi" w:cstheme="majorBidi" w:hint="cs"/>
          <w:sz w:val="24"/>
          <w:szCs w:val="24"/>
          <w:rtl/>
        </w:rPr>
        <w:t xml:space="preserve"> </w:t>
      </w:r>
    </w:p>
    <w:p w14:paraId="78164FAB" w14:textId="77777777" w:rsidR="002F1297" w:rsidRPr="00B42281" w:rsidRDefault="002F1297" w:rsidP="00E75255">
      <w:pPr>
        <w:jc w:val="both"/>
        <w:rPr>
          <w:rFonts w:asciiTheme="majorBidi" w:hAnsiTheme="majorBidi" w:cstheme="majorBidi"/>
          <w:sz w:val="24"/>
          <w:szCs w:val="24"/>
        </w:rPr>
      </w:pPr>
      <w:r w:rsidRPr="002F1297">
        <w:rPr>
          <w:rFonts w:asciiTheme="majorBidi" w:hAnsiTheme="majorBidi" w:cstheme="majorBidi"/>
          <w:sz w:val="24"/>
          <w:szCs w:val="24"/>
        </w:rPr>
        <w:lastRenderedPageBreak/>
        <w:t>For the driving cycles to be fully representative, they need extensive detailed data about characteristics of driving in locations where they are applied. Also, the vehicles used for designing the cycle must match the running models. Other factors, such as roads elevation, air and wind need to be accounted for. Some claim that manufacturers design vehicles to match the driving cycle at the destination market’s cycle, if there is one.</w:t>
      </w:r>
    </w:p>
    <w:p w14:paraId="0AFB404C" w14:textId="77777777" w:rsidR="000044F6" w:rsidRDefault="001475E0" w:rsidP="00B42281">
      <w:pPr>
        <w:pStyle w:val="Heading1"/>
      </w:pPr>
      <w:bookmarkStart w:id="18" w:name="_Toc402703204"/>
      <w:r w:rsidRPr="001475E0">
        <w:t>Morocco in a North African context</w:t>
      </w:r>
      <w:bookmarkEnd w:id="18"/>
    </w:p>
    <w:p w14:paraId="63DE49BF" w14:textId="77777777" w:rsidR="001D3C0C" w:rsidRDefault="001D3C0C" w:rsidP="00E75255">
      <w:pPr>
        <w:jc w:val="both"/>
        <w:rPr>
          <w:rFonts w:asciiTheme="majorBidi" w:hAnsiTheme="majorBidi" w:cstheme="majorBidi"/>
          <w:sz w:val="24"/>
          <w:szCs w:val="24"/>
        </w:rPr>
      </w:pPr>
      <w:r>
        <w:rPr>
          <w:rFonts w:asciiTheme="majorBidi" w:hAnsiTheme="majorBidi" w:cstheme="majorBidi"/>
          <w:sz w:val="24"/>
          <w:szCs w:val="24"/>
        </w:rPr>
        <w:t>Morocco</w:t>
      </w:r>
      <w:r w:rsidR="001475E0" w:rsidRPr="001475E0">
        <w:rPr>
          <w:rFonts w:asciiTheme="majorBidi" w:hAnsiTheme="majorBidi" w:cstheme="majorBidi"/>
          <w:b/>
          <w:bCs/>
          <w:sz w:val="24"/>
          <w:szCs w:val="24"/>
        </w:rPr>
        <w:t xml:space="preserve"> </w:t>
      </w:r>
      <w:r w:rsidR="001475E0" w:rsidRPr="001475E0">
        <w:rPr>
          <w:rFonts w:asciiTheme="majorBidi" w:hAnsiTheme="majorBidi" w:cstheme="majorBidi"/>
          <w:sz w:val="24"/>
          <w:szCs w:val="24"/>
        </w:rPr>
        <w:t xml:space="preserve">is a North-African/ Arab country that has a </w:t>
      </w:r>
      <w:r>
        <w:rPr>
          <w:rFonts w:asciiTheme="majorBidi" w:hAnsiTheme="majorBidi" w:cstheme="majorBidi"/>
          <w:sz w:val="24"/>
          <w:szCs w:val="24"/>
        </w:rPr>
        <w:t>GDP of $ 180</w:t>
      </w:r>
      <w:r w:rsidR="001475E0" w:rsidRPr="001475E0">
        <w:rPr>
          <w:rFonts w:asciiTheme="majorBidi" w:hAnsiTheme="majorBidi" w:cstheme="majorBidi"/>
          <w:sz w:val="24"/>
          <w:szCs w:val="24"/>
        </w:rPr>
        <w:t xml:space="preserve"> billion at purchasing power  parity, with</w:t>
      </w:r>
      <w:r>
        <w:rPr>
          <w:rFonts w:asciiTheme="majorBidi" w:hAnsiTheme="majorBidi" w:cstheme="majorBidi"/>
          <w:sz w:val="24"/>
          <w:szCs w:val="24"/>
        </w:rPr>
        <w:t xml:space="preserve"> a</w:t>
      </w:r>
      <w:r w:rsidR="001475E0" w:rsidRPr="001475E0">
        <w:rPr>
          <w:rFonts w:asciiTheme="majorBidi" w:hAnsiTheme="majorBidi" w:cstheme="majorBidi"/>
          <w:sz w:val="24"/>
          <w:szCs w:val="24"/>
        </w:rPr>
        <w:t xml:space="preserve"> real economic growth rate of </w:t>
      </w:r>
      <w:r>
        <w:rPr>
          <w:rFonts w:asciiTheme="majorBidi" w:hAnsiTheme="majorBidi" w:cstheme="majorBidi"/>
          <w:sz w:val="24"/>
          <w:szCs w:val="24"/>
        </w:rPr>
        <w:t>5.1</w:t>
      </w:r>
      <w:r w:rsidR="001475E0" w:rsidRPr="001475E0">
        <w:rPr>
          <w:rFonts w:asciiTheme="majorBidi" w:hAnsiTheme="majorBidi" w:cstheme="majorBidi"/>
          <w:sz w:val="24"/>
          <w:szCs w:val="24"/>
        </w:rPr>
        <w:t>% in 2013</w:t>
      </w:r>
      <w:r w:rsidR="003A086E">
        <w:rPr>
          <w:rFonts w:asciiTheme="majorBidi" w:hAnsiTheme="majorBidi" w:cstheme="majorBidi"/>
          <w:sz w:val="24"/>
          <w:szCs w:val="24"/>
        </w:rPr>
        <w:t xml:space="preserve"> up</w:t>
      </w:r>
      <w:r>
        <w:rPr>
          <w:rFonts w:asciiTheme="majorBidi" w:hAnsiTheme="majorBidi" w:cstheme="majorBidi"/>
          <w:sz w:val="24"/>
          <w:szCs w:val="24"/>
        </w:rPr>
        <w:t xml:space="preserve"> from 2.7</w:t>
      </w:r>
      <w:r w:rsidR="001475E0" w:rsidRPr="001475E0">
        <w:rPr>
          <w:rFonts w:asciiTheme="majorBidi" w:hAnsiTheme="majorBidi" w:cstheme="majorBidi"/>
          <w:sz w:val="24"/>
          <w:szCs w:val="24"/>
        </w:rPr>
        <w:t xml:space="preserve">% in 2012 </w:t>
      </w:r>
      <w:r w:rsidR="00266D2C">
        <w:rPr>
          <w:rFonts w:asciiTheme="majorBidi" w:hAnsiTheme="majorBidi" w:cstheme="majorBidi"/>
          <w:sz w:val="24"/>
          <w:szCs w:val="24"/>
        </w:rPr>
        <w:t xml:space="preserve"> while it was </w:t>
      </w:r>
      <w:r>
        <w:rPr>
          <w:rFonts w:asciiTheme="majorBidi" w:hAnsiTheme="majorBidi" w:cstheme="majorBidi"/>
          <w:sz w:val="24"/>
          <w:szCs w:val="24"/>
        </w:rPr>
        <w:t xml:space="preserve">5% in 2011 </w:t>
      </w:r>
      <w:r w:rsidR="001475E0" w:rsidRPr="001475E0">
        <w:rPr>
          <w:rFonts w:asciiTheme="majorBidi" w:hAnsiTheme="majorBidi" w:cstheme="majorBidi"/>
          <w:sz w:val="24"/>
          <w:szCs w:val="24"/>
        </w:rPr>
        <w:t xml:space="preserve">(CIA, 2014).  </w:t>
      </w:r>
    </w:p>
    <w:p w14:paraId="61C00FAF" w14:textId="77777777" w:rsidR="00266D2C" w:rsidRDefault="001D3C0C" w:rsidP="00E75255">
      <w:pPr>
        <w:jc w:val="both"/>
        <w:rPr>
          <w:rFonts w:asciiTheme="majorBidi" w:hAnsiTheme="majorBidi" w:cstheme="majorBidi"/>
          <w:sz w:val="24"/>
          <w:szCs w:val="24"/>
        </w:rPr>
      </w:pPr>
      <w:r>
        <w:rPr>
          <w:rFonts w:asciiTheme="majorBidi" w:hAnsiTheme="majorBidi" w:cstheme="majorBidi"/>
          <w:sz w:val="24"/>
          <w:szCs w:val="24"/>
        </w:rPr>
        <w:t>Morocco entertains</w:t>
      </w:r>
      <w:r w:rsidR="001475E0" w:rsidRPr="001475E0">
        <w:rPr>
          <w:rFonts w:asciiTheme="majorBidi" w:hAnsiTheme="majorBidi" w:cstheme="majorBidi"/>
          <w:sz w:val="24"/>
          <w:szCs w:val="24"/>
        </w:rPr>
        <w:t xml:space="preserve"> level</w:t>
      </w:r>
      <w:r>
        <w:rPr>
          <w:rFonts w:asciiTheme="majorBidi" w:hAnsiTheme="majorBidi" w:cstheme="majorBidi"/>
          <w:sz w:val="24"/>
          <w:szCs w:val="24"/>
        </w:rPr>
        <w:t>s</w:t>
      </w:r>
      <w:r w:rsidR="001475E0" w:rsidRPr="001475E0">
        <w:rPr>
          <w:rFonts w:asciiTheme="majorBidi" w:hAnsiTheme="majorBidi" w:cstheme="majorBidi"/>
          <w:sz w:val="24"/>
          <w:szCs w:val="24"/>
        </w:rPr>
        <w:t xml:space="preserve"> of GDP</w:t>
      </w:r>
      <w:r>
        <w:rPr>
          <w:rFonts w:asciiTheme="majorBidi" w:hAnsiTheme="majorBidi" w:cstheme="majorBidi"/>
          <w:sz w:val="24"/>
          <w:szCs w:val="24"/>
        </w:rPr>
        <w:t xml:space="preserve"> </w:t>
      </w:r>
      <w:r w:rsidR="001475E0" w:rsidRPr="001475E0">
        <w:rPr>
          <w:rFonts w:asciiTheme="majorBidi" w:hAnsiTheme="majorBidi" w:cstheme="majorBidi"/>
          <w:sz w:val="24"/>
          <w:szCs w:val="24"/>
        </w:rPr>
        <w:t>per capita</w:t>
      </w:r>
      <w:r>
        <w:rPr>
          <w:rFonts w:asciiTheme="majorBidi" w:hAnsiTheme="majorBidi" w:cstheme="majorBidi"/>
          <w:sz w:val="24"/>
          <w:szCs w:val="24"/>
        </w:rPr>
        <w:t>,</w:t>
      </w:r>
      <w:r w:rsidR="001475E0" w:rsidRPr="001475E0">
        <w:rPr>
          <w:rFonts w:asciiTheme="majorBidi" w:hAnsiTheme="majorBidi" w:cstheme="majorBidi"/>
          <w:sz w:val="24"/>
          <w:szCs w:val="24"/>
        </w:rPr>
        <w:t xml:space="preserve"> at purchasing power parity,</w:t>
      </w:r>
      <w:r w:rsidR="00EC5F7E">
        <w:rPr>
          <w:rFonts w:asciiTheme="majorBidi" w:hAnsiTheme="majorBidi" w:cstheme="majorBidi"/>
          <w:sz w:val="24"/>
          <w:szCs w:val="24"/>
        </w:rPr>
        <w:t xml:space="preserve"> </w:t>
      </w:r>
      <w:r w:rsidR="00AF068C">
        <w:rPr>
          <w:rFonts w:asciiTheme="majorBidi" w:hAnsiTheme="majorBidi" w:cstheme="majorBidi"/>
          <w:sz w:val="24"/>
          <w:szCs w:val="24"/>
        </w:rPr>
        <w:t>lower than</w:t>
      </w:r>
      <w:r>
        <w:rPr>
          <w:rFonts w:asciiTheme="majorBidi" w:hAnsiTheme="majorBidi" w:cstheme="majorBidi"/>
          <w:sz w:val="24"/>
          <w:szCs w:val="24"/>
        </w:rPr>
        <w:t xml:space="preserve"> Egypt’s</w:t>
      </w:r>
      <w:r w:rsidR="004D658B">
        <w:rPr>
          <w:rFonts w:asciiTheme="majorBidi" w:hAnsiTheme="majorBidi" w:cstheme="majorBidi"/>
          <w:sz w:val="24"/>
          <w:szCs w:val="24"/>
        </w:rPr>
        <w:t>,</w:t>
      </w:r>
      <w:r>
        <w:rPr>
          <w:rFonts w:asciiTheme="majorBidi" w:hAnsiTheme="majorBidi" w:cstheme="majorBidi"/>
          <w:sz w:val="24"/>
          <w:szCs w:val="24"/>
        </w:rPr>
        <w:t xml:space="preserve"> and considerably </w:t>
      </w:r>
      <w:r w:rsidR="004D658B">
        <w:rPr>
          <w:rFonts w:asciiTheme="majorBidi" w:hAnsiTheme="majorBidi" w:cstheme="majorBidi"/>
          <w:sz w:val="24"/>
          <w:szCs w:val="24"/>
        </w:rPr>
        <w:t xml:space="preserve">lower </w:t>
      </w:r>
      <w:r>
        <w:rPr>
          <w:rFonts w:asciiTheme="majorBidi" w:hAnsiTheme="majorBidi" w:cstheme="majorBidi"/>
          <w:sz w:val="24"/>
          <w:szCs w:val="24"/>
        </w:rPr>
        <w:t>than Tunisia’s</w:t>
      </w:r>
      <w:r w:rsidR="001475E0" w:rsidRPr="001475E0">
        <w:rPr>
          <w:rFonts w:asciiTheme="majorBidi" w:hAnsiTheme="majorBidi" w:cstheme="majorBidi"/>
          <w:sz w:val="24"/>
          <w:szCs w:val="24"/>
        </w:rPr>
        <w:t xml:space="preserve">. It </w:t>
      </w:r>
      <w:r>
        <w:rPr>
          <w:rFonts w:asciiTheme="majorBidi" w:hAnsiTheme="majorBidi" w:cstheme="majorBidi"/>
          <w:sz w:val="24"/>
          <w:szCs w:val="24"/>
        </w:rPr>
        <w:t>figured to 5</w:t>
      </w:r>
      <w:r w:rsidR="001475E0" w:rsidRPr="001475E0">
        <w:rPr>
          <w:rFonts w:asciiTheme="majorBidi" w:hAnsiTheme="majorBidi" w:cstheme="majorBidi"/>
          <w:sz w:val="24"/>
          <w:szCs w:val="24"/>
        </w:rPr>
        <w:t>,</w:t>
      </w:r>
      <w:r>
        <w:rPr>
          <w:rFonts w:asciiTheme="majorBidi" w:hAnsiTheme="majorBidi" w:cstheme="majorBidi"/>
          <w:sz w:val="24"/>
          <w:szCs w:val="24"/>
        </w:rPr>
        <w:t>200, 5,300 and 5,5</w:t>
      </w:r>
      <w:r w:rsidR="001475E0" w:rsidRPr="001475E0">
        <w:rPr>
          <w:rFonts w:asciiTheme="majorBidi" w:hAnsiTheme="majorBidi" w:cstheme="majorBidi"/>
          <w:sz w:val="24"/>
          <w:szCs w:val="24"/>
        </w:rPr>
        <w:t>00 for 2011, 2012 and 2013, respectively (CIA, 2014).</w:t>
      </w:r>
      <w:r w:rsidR="001475E0" w:rsidRPr="001475E0">
        <w:rPr>
          <w:rFonts w:asciiTheme="majorBidi" w:hAnsiTheme="majorBidi" w:cstheme="majorBidi"/>
          <w:b/>
          <w:bCs/>
          <w:sz w:val="24"/>
          <w:szCs w:val="24"/>
        </w:rPr>
        <w:t xml:space="preserve"> </w:t>
      </w:r>
      <w:r w:rsidR="00EC5F7E">
        <w:rPr>
          <w:rFonts w:asciiTheme="majorBidi" w:hAnsiTheme="majorBidi" w:cstheme="majorBidi"/>
          <w:b/>
          <w:bCs/>
          <w:sz w:val="24"/>
          <w:szCs w:val="24"/>
        </w:rPr>
        <w:t xml:space="preserve"> </w:t>
      </w:r>
      <w:r w:rsidR="00EC5F7E" w:rsidRPr="00EC5F7E">
        <w:rPr>
          <w:rFonts w:asciiTheme="majorBidi" w:hAnsiTheme="majorBidi" w:cstheme="majorBidi"/>
          <w:sz w:val="24"/>
          <w:szCs w:val="24"/>
        </w:rPr>
        <w:t xml:space="preserve">Egypt, on the other hand, </w:t>
      </w:r>
      <w:r w:rsidR="00EC5F7E">
        <w:rPr>
          <w:rFonts w:asciiTheme="majorBidi" w:hAnsiTheme="majorBidi" w:cstheme="majorBidi"/>
          <w:sz w:val="24"/>
          <w:szCs w:val="24"/>
        </w:rPr>
        <w:t xml:space="preserve">had a GDP per capita remaining constant </w:t>
      </w:r>
      <w:r w:rsidR="00AF068C" w:rsidRPr="00EC5F7E">
        <w:rPr>
          <w:rFonts w:asciiTheme="majorBidi" w:hAnsiTheme="majorBidi" w:cstheme="majorBidi"/>
          <w:sz w:val="24"/>
          <w:szCs w:val="24"/>
        </w:rPr>
        <w:t>at $6,600 over the period from 2011 to 2013 (CIA, 2014).</w:t>
      </w:r>
      <w:r w:rsidR="004D658B">
        <w:rPr>
          <w:rFonts w:asciiTheme="majorBidi" w:hAnsiTheme="majorBidi" w:cstheme="majorBidi"/>
          <w:sz w:val="24"/>
          <w:szCs w:val="24"/>
        </w:rPr>
        <w:t xml:space="preserve"> </w:t>
      </w:r>
      <w:r w:rsidR="00BD191E">
        <w:rPr>
          <w:rFonts w:asciiTheme="majorBidi" w:hAnsiTheme="majorBidi" w:cstheme="majorBidi"/>
          <w:sz w:val="24"/>
          <w:szCs w:val="24"/>
        </w:rPr>
        <w:t xml:space="preserve"> </w:t>
      </w:r>
    </w:p>
    <w:p w14:paraId="20268A9D" w14:textId="77777777" w:rsidR="00266D2C" w:rsidRDefault="00266D2C" w:rsidP="00E75255">
      <w:pPr>
        <w:jc w:val="both"/>
        <w:rPr>
          <w:rFonts w:asciiTheme="majorBidi" w:hAnsiTheme="majorBidi" w:cstheme="majorBidi"/>
          <w:sz w:val="24"/>
          <w:szCs w:val="24"/>
        </w:rPr>
      </w:pPr>
      <w:r w:rsidRPr="00266D2C">
        <w:rPr>
          <w:rFonts w:asciiTheme="majorBidi" w:hAnsiTheme="majorBidi" w:cstheme="majorBidi"/>
          <w:sz w:val="24"/>
          <w:szCs w:val="24"/>
        </w:rPr>
        <w:t>Morocco</w:t>
      </w:r>
      <w:r>
        <w:rPr>
          <w:rFonts w:asciiTheme="majorBidi" w:hAnsiTheme="majorBidi" w:cstheme="majorBidi"/>
          <w:sz w:val="24"/>
          <w:szCs w:val="24"/>
        </w:rPr>
        <w:t xml:space="preserve"> had</w:t>
      </w:r>
      <w:r w:rsidRPr="00266D2C">
        <w:rPr>
          <w:rFonts w:asciiTheme="majorBidi" w:hAnsiTheme="majorBidi" w:cstheme="majorBidi"/>
          <w:sz w:val="24"/>
          <w:szCs w:val="24"/>
        </w:rPr>
        <w:t xml:space="preserve"> a GINI index rounding up to 40 over the entire last decade</w:t>
      </w:r>
      <w:r>
        <w:rPr>
          <w:rFonts w:asciiTheme="majorBidi" w:hAnsiTheme="majorBidi" w:cstheme="majorBidi"/>
          <w:sz w:val="24"/>
          <w:szCs w:val="24"/>
        </w:rPr>
        <w:t xml:space="preserve"> (IMF, 2013). It was</w:t>
      </w:r>
      <w:r w:rsidRPr="00266D2C">
        <w:rPr>
          <w:rFonts w:asciiTheme="majorBidi" w:hAnsiTheme="majorBidi" w:cstheme="majorBidi"/>
          <w:sz w:val="24"/>
          <w:szCs w:val="24"/>
        </w:rPr>
        <w:t xml:space="preserve"> narrowly close to Tunisia’s and higher than Egypt’s, indicating a relatively more equitable distribution of income in Egypt. </w:t>
      </w:r>
    </w:p>
    <w:p w14:paraId="01A05AF1" w14:textId="77777777" w:rsidR="001475E0" w:rsidRDefault="004D658B" w:rsidP="00E75255">
      <w:pPr>
        <w:jc w:val="both"/>
        <w:rPr>
          <w:rFonts w:asciiTheme="majorBidi" w:hAnsiTheme="majorBidi" w:cstheme="majorBidi"/>
          <w:sz w:val="24"/>
          <w:szCs w:val="24"/>
        </w:rPr>
      </w:pPr>
      <w:r>
        <w:rPr>
          <w:rFonts w:asciiTheme="majorBidi" w:hAnsiTheme="majorBidi" w:cstheme="majorBidi"/>
          <w:sz w:val="24"/>
          <w:szCs w:val="24"/>
        </w:rPr>
        <w:t>Motorization rates in Morocco were 81 and 84 per one thousand inhabitants for the years 2011 and 2012, respectively- higher than the 50-odd rates of Egypt, but</w:t>
      </w:r>
      <w:r w:rsidR="00266D2C">
        <w:rPr>
          <w:rFonts w:asciiTheme="majorBidi" w:hAnsiTheme="majorBidi" w:cstheme="majorBidi"/>
          <w:sz w:val="24"/>
          <w:szCs w:val="24"/>
        </w:rPr>
        <w:t xml:space="preserve"> considerably lower than </w:t>
      </w:r>
      <w:r>
        <w:rPr>
          <w:rFonts w:asciiTheme="majorBidi" w:hAnsiTheme="majorBidi" w:cstheme="majorBidi"/>
          <w:sz w:val="24"/>
          <w:szCs w:val="24"/>
        </w:rPr>
        <w:t>those of Tunisia</w:t>
      </w:r>
      <w:r w:rsidR="006B47C8">
        <w:rPr>
          <w:rFonts w:asciiTheme="majorBidi" w:hAnsiTheme="majorBidi" w:cstheme="majorBidi"/>
          <w:sz w:val="24"/>
          <w:szCs w:val="24"/>
        </w:rPr>
        <w:t xml:space="preserve"> standing</w:t>
      </w:r>
      <w:r>
        <w:rPr>
          <w:rFonts w:asciiTheme="majorBidi" w:hAnsiTheme="majorBidi" w:cstheme="majorBidi"/>
          <w:sz w:val="24"/>
          <w:szCs w:val="24"/>
        </w:rPr>
        <w:t xml:space="preserve"> </w:t>
      </w:r>
      <w:r w:rsidR="006B47C8">
        <w:rPr>
          <w:rFonts w:asciiTheme="majorBidi" w:hAnsiTheme="majorBidi" w:cstheme="majorBidi"/>
          <w:sz w:val="24"/>
          <w:szCs w:val="24"/>
        </w:rPr>
        <w:t xml:space="preserve">in the range of one hundred and twenties. </w:t>
      </w:r>
      <w:r w:rsidR="00266D2C">
        <w:rPr>
          <w:rFonts w:asciiTheme="majorBidi" w:hAnsiTheme="majorBidi" w:cstheme="majorBidi"/>
          <w:sz w:val="24"/>
          <w:szCs w:val="24"/>
        </w:rPr>
        <w:t>The higher motorization rates in Morocco despite Egypt’s better GINI coefficient, higher GDP per capita and cheaper highly subsidized motor fuel can be attributed to</w:t>
      </w:r>
      <w:r w:rsidR="00BD191E">
        <w:rPr>
          <w:rFonts w:asciiTheme="majorBidi" w:hAnsiTheme="majorBidi" w:cstheme="majorBidi"/>
          <w:sz w:val="24"/>
          <w:szCs w:val="24"/>
        </w:rPr>
        <w:t xml:space="preserve"> two factors. First,</w:t>
      </w:r>
      <w:r w:rsidR="00266D2C">
        <w:rPr>
          <w:rFonts w:asciiTheme="majorBidi" w:hAnsiTheme="majorBidi" w:cstheme="majorBidi"/>
          <w:sz w:val="24"/>
          <w:szCs w:val="24"/>
        </w:rPr>
        <w:t xml:space="preserve"> </w:t>
      </w:r>
      <w:r w:rsidR="001F3DFA">
        <w:rPr>
          <w:rFonts w:asciiTheme="majorBidi" w:hAnsiTheme="majorBidi" w:cstheme="majorBidi"/>
          <w:sz w:val="24"/>
          <w:szCs w:val="24"/>
        </w:rPr>
        <w:t xml:space="preserve">there is </w:t>
      </w:r>
      <w:r w:rsidR="00266D2C">
        <w:rPr>
          <w:rFonts w:asciiTheme="majorBidi" w:hAnsiTheme="majorBidi" w:cstheme="majorBidi"/>
          <w:sz w:val="24"/>
          <w:szCs w:val="24"/>
        </w:rPr>
        <w:t xml:space="preserve">the higher rate of urbanization in Morocco where urban population </w:t>
      </w:r>
      <w:r w:rsidR="00BD191E">
        <w:rPr>
          <w:rFonts w:asciiTheme="majorBidi" w:hAnsiTheme="majorBidi" w:cstheme="majorBidi"/>
          <w:sz w:val="24"/>
          <w:szCs w:val="24"/>
        </w:rPr>
        <w:t xml:space="preserve">makes up 57.77% of total population, whereas Egypt’s rate is </w:t>
      </w:r>
      <w:r w:rsidR="001F3DFA">
        <w:rPr>
          <w:rFonts w:asciiTheme="majorBidi" w:hAnsiTheme="majorBidi" w:cstheme="majorBidi"/>
          <w:sz w:val="24"/>
          <w:szCs w:val="24"/>
        </w:rPr>
        <w:t xml:space="preserve">43.7 (Quandl, 2014). </w:t>
      </w:r>
      <w:r w:rsidR="00895399">
        <w:rPr>
          <w:rFonts w:asciiTheme="majorBidi" w:hAnsiTheme="majorBidi" w:cstheme="majorBidi"/>
          <w:sz w:val="24"/>
          <w:szCs w:val="24"/>
        </w:rPr>
        <w:t xml:space="preserve"> Cities of Casablanca, Rabat, Fes, Meknes </w:t>
      </w:r>
      <w:r w:rsidR="00E26DA6">
        <w:rPr>
          <w:rFonts w:asciiTheme="majorBidi" w:hAnsiTheme="majorBidi" w:cstheme="majorBidi"/>
          <w:sz w:val="24"/>
          <w:szCs w:val="24"/>
        </w:rPr>
        <w:t xml:space="preserve">and Agadir </w:t>
      </w:r>
      <w:r w:rsidR="005A2880">
        <w:rPr>
          <w:rFonts w:asciiTheme="majorBidi" w:hAnsiTheme="majorBidi" w:cstheme="majorBidi"/>
          <w:sz w:val="24"/>
          <w:szCs w:val="24"/>
        </w:rPr>
        <w:t xml:space="preserve">are highly urbanized and the levels </w:t>
      </w:r>
      <w:r w:rsidR="00E26DA6">
        <w:rPr>
          <w:rFonts w:asciiTheme="majorBidi" w:hAnsiTheme="majorBidi" w:cstheme="majorBidi"/>
          <w:sz w:val="24"/>
          <w:szCs w:val="24"/>
        </w:rPr>
        <w:t>of commuting</w:t>
      </w:r>
      <w:r w:rsidR="005A2880">
        <w:rPr>
          <w:rFonts w:asciiTheme="majorBidi" w:hAnsiTheme="majorBidi" w:cstheme="majorBidi"/>
          <w:sz w:val="24"/>
          <w:szCs w:val="24"/>
        </w:rPr>
        <w:t xml:space="preserve"> are quite high (Focal Points, 2014). In </w:t>
      </w:r>
      <w:r w:rsidR="00E26DA6">
        <w:rPr>
          <w:rFonts w:asciiTheme="majorBidi" w:hAnsiTheme="majorBidi" w:cstheme="majorBidi"/>
          <w:sz w:val="24"/>
          <w:szCs w:val="24"/>
        </w:rPr>
        <w:t>Egypt, relatively high</w:t>
      </w:r>
      <w:r w:rsidR="005A2880">
        <w:rPr>
          <w:rFonts w:asciiTheme="majorBidi" w:hAnsiTheme="majorBidi" w:cstheme="majorBidi"/>
          <w:sz w:val="24"/>
          <w:szCs w:val="24"/>
        </w:rPr>
        <w:t xml:space="preserve"> </w:t>
      </w:r>
      <w:r w:rsidR="00E26DA6">
        <w:rPr>
          <w:rFonts w:asciiTheme="majorBidi" w:hAnsiTheme="majorBidi" w:cstheme="majorBidi"/>
          <w:sz w:val="24"/>
          <w:szCs w:val="24"/>
        </w:rPr>
        <w:t xml:space="preserve">levels of urbanization and </w:t>
      </w:r>
      <w:r w:rsidR="005A2880">
        <w:rPr>
          <w:rFonts w:asciiTheme="majorBidi" w:hAnsiTheme="majorBidi" w:cstheme="majorBidi"/>
          <w:sz w:val="24"/>
          <w:szCs w:val="24"/>
        </w:rPr>
        <w:t>commuting are confined to Cairo</w:t>
      </w:r>
      <w:r w:rsidR="002216DD">
        <w:rPr>
          <w:rFonts w:asciiTheme="majorBidi" w:hAnsiTheme="majorBidi" w:cstheme="majorBidi"/>
          <w:sz w:val="24"/>
          <w:szCs w:val="24"/>
        </w:rPr>
        <w:t>. Tunisia, on the other hand, has a high level of urban population of 66.75% (Quandl, 2014)</w:t>
      </w:r>
      <w:r w:rsidR="00E36450">
        <w:rPr>
          <w:rFonts w:asciiTheme="majorBidi" w:hAnsiTheme="majorBidi" w:cstheme="majorBidi"/>
          <w:sz w:val="24"/>
          <w:szCs w:val="24"/>
        </w:rPr>
        <w:t>.</w:t>
      </w:r>
    </w:p>
    <w:p w14:paraId="7FCD81F9" w14:textId="77777777" w:rsidR="00E36450" w:rsidRPr="00E36450" w:rsidRDefault="00E36450" w:rsidP="00E75255">
      <w:pPr>
        <w:jc w:val="both"/>
        <w:rPr>
          <w:rFonts w:asciiTheme="majorBidi" w:hAnsiTheme="majorBidi" w:cstheme="majorBidi"/>
          <w:sz w:val="24"/>
          <w:szCs w:val="24"/>
        </w:rPr>
      </w:pPr>
      <w:r w:rsidRPr="00E36450">
        <w:rPr>
          <w:rFonts w:asciiTheme="majorBidi" w:hAnsiTheme="majorBidi" w:cstheme="majorBidi"/>
          <w:sz w:val="24"/>
          <w:szCs w:val="24"/>
        </w:rPr>
        <w:t>Figures 1 shows the total number of cars on the road for Tunisia, Egypt and Morocco. Figure 2 shows the sales of new LDVs in Tunisia and Egypt for the years 2005, 2008, 2010 and 2012. Figure 3 shows the sales of new LDVs in Morocco for the years 2009, 2012 and 2013.</w:t>
      </w:r>
    </w:p>
    <w:p w14:paraId="0A003708" w14:textId="77777777" w:rsidR="00E36450" w:rsidRDefault="00E36450" w:rsidP="00E75255">
      <w:pPr>
        <w:jc w:val="both"/>
        <w:rPr>
          <w:rFonts w:asciiTheme="majorBidi" w:hAnsiTheme="majorBidi" w:cstheme="majorBidi"/>
          <w:sz w:val="24"/>
          <w:szCs w:val="24"/>
        </w:rPr>
      </w:pPr>
    </w:p>
    <w:p w14:paraId="454BD971" w14:textId="77777777" w:rsidR="00E36450" w:rsidRDefault="00E36450" w:rsidP="00E75255">
      <w:pPr>
        <w:jc w:val="both"/>
        <w:rPr>
          <w:rFonts w:asciiTheme="majorBidi" w:hAnsiTheme="majorBidi" w:cstheme="majorBidi"/>
          <w:sz w:val="24"/>
          <w:szCs w:val="24"/>
        </w:rPr>
      </w:pPr>
    </w:p>
    <w:p w14:paraId="09E18BFC" w14:textId="77777777" w:rsidR="00E36450" w:rsidRDefault="00E36450" w:rsidP="00E75255">
      <w:pPr>
        <w:jc w:val="both"/>
        <w:rPr>
          <w:rFonts w:asciiTheme="majorBidi" w:hAnsiTheme="majorBidi" w:cstheme="majorBidi"/>
          <w:sz w:val="24"/>
          <w:szCs w:val="24"/>
        </w:rPr>
      </w:pPr>
    </w:p>
    <w:p w14:paraId="2CC40469" w14:textId="588810A1" w:rsidR="00817691" w:rsidRDefault="00861DEA" w:rsidP="00E75255">
      <w:pPr>
        <w:keepNext/>
        <w:jc w:val="center"/>
      </w:pPr>
      <w:r>
        <w:rPr>
          <w:noProof/>
        </w:rPr>
        <w:lastRenderedPageBreak/>
        <w:drawing>
          <wp:inline distT="0" distB="0" distL="0" distR="0" wp14:anchorId="35F7882B" wp14:editId="4F465718">
            <wp:extent cx="3566160" cy="2286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6160" cy="2286000"/>
                    </a:xfrm>
                    <a:prstGeom prst="rect">
                      <a:avLst/>
                    </a:prstGeom>
                    <a:noFill/>
                  </pic:spPr>
                </pic:pic>
              </a:graphicData>
            </a:graphic>
          </wp:inline>
        </w:drawing>
      </w:r>
    </w:p>
    <w:p w14:paraId="76E9FD05" w14:textId="77777777" w:rsidR="00E75255" w:rsidRPr="00E75255" w:rsidRDefault="00817691" w:rsidP="00E75255">
      <w:pPr>
        <w:pStyle w:val="Caption"/>
        <w:jc w:val="center"/>
      </w:pPr>
      <w:bookmarkStart w:id="19" w:name="_Toc402702769"/>
      <w:r>
        <w:t xml:space="preserve">Figure </w:t>
      </w:r>
      <w:r w:rsidR="003D4928">
        <w:fldChar w:fldCharType="begin"/>
      </w:r>
      <w:r w:rsidR="003D4928">
        <w:instrText xml:space="preserve"> SEQ Figure \* ARABIC </w:instrText>
      </w:r>
      <w:r w:rsidR="003D4928">
        <w:fldChar w:fldCharType="separate"/>
      </w:r>
      <w:r w:rsidR="00A06CBD">
        <w:rPr>
          <w:noProof/>
        </w:rPr>
        <w:t>1</w:t>
      </w:r>
      <w:r w:rsidR="003D4928">
        <w:rPr>
          <w:noProof/>
        </w:rPr>
        <w:fldChar w:fldCharType="end"/>
      </w:r>
      <w:r>
        <w:t>: Total Vehicles on the road. (OICA 2014)</w:t>
      </w:r>
      <w:bookmarkEnd w:id="19"/>
    </w:p>
    <w:p w14:paraId="099C9099" w14:textId="053AA9BC" w:rsidR="00817691" w:rsidRDefault="00861DEA" w:rsidP="00E75255">
      <w:pPr>
        <w:keepNext/>
        <w:jc w:val="center"/>
      </w:pPr>
      <w:r>
        <w:rPr>
          <w:noProof/>
        </w:rPr>
        <w:drawing>
          <wp:inline distT="0" distB="0" distL="0" distR="0" wp14:anchorId="6C39450F" wp14:editId="6590F602">
            <wp:extent cx="3627120" cy="228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7120" cy="2286000"/>
                    </a:xfrm>
                    <a:prstGeom prst="rect">
                      <a:avLst/>
                    </a:prstGeom>
                    <a:noFill/>
                  </pic:spPr>
                </pic:pic>
              </a:graphicData>
            </a:graphic>
          </wp:inline>
        </w:drawing>
      </w:r>
    </w:p>
    <w:p w14:paraId="5663E0B9" w14:textId="77777777" w:rsidR="00E75255" w:rsidRPr="00E75255" w:rsidRDefault="00817691" w:rsidP="00E75255">
      <w:pPr>
        <w:pStyle w:val="Caption"/>
        <w:jc w:val="center"/>
      </w:pPr>
      <w:bookmarkStart w:id="20" w:name="_Toc402702770"/>
      <w:r>
        <w:t xml:space="preserve">Figure </w:t>
      </w:r>
      <w:r w:rsidR="003D4928">
        <w:fldChar w:fldCharType="begin"/>
      </w:r>
      <w:r w:rsidR="003D4928">
        <w:instrText xml:space="preserve"> SEQ Figure \* ARABIC </w:instrText>
      </w:r>
      <w:r w:rsidR="003D4928">
        <w:fldChar w:fldCharType="separate"/>
      </w:r>
      <w:r w:rsidR="00A06CBD">
        <w:rPr>
          <w:noProof/>
        </w:rPr>
        <w:t>2</w:t>
      </w:r>
      <w:r w:rsidR="003D4928">
        <w:rPr>
          <w:noProof/>
        </w:rPr>
        <w:fldChar w:fldCharType="end"/>
      </w:r>
      <w:r>
        <w:t>: Sales of new LDVs in Tunisia and Egypt. (Matthias G</w:t>
      </w:r>
      <w:r w:rsidR="00E36ED4">
        <w:t xml:space="preserve">asnier </w:t>
      </w:r>
      <w:r>
        <w:t>2014)</w:t>
      </w:r>
      <w:bookmarkEnd w:id="20"/>
    </w:p>
    <w:p w14:paraId="50B0FA50" w14:textId="29C58703" w:rsidR="00E36ED4" w:rsidRDefault="00861DEA" w:rsidP="00E75255">
      <w:pPr>
        <w:keepNext/>
        <w:jc w:val="center"/>
      </w:pPr>
      <w:r>
        <w:rPr>
          <w:noProof/>
        </w:rPr>
        <w:drawing>
          <wp:inline distT="0" distB="0" distL="0" distR="0" wp14:anchorId="0E509B41" wp14:editId="5CBDFDB9">
            <wp:extent cx="3575304" cy="2295144"/>
            <wp:effectExtent l="0" t="0" r="635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5304" cy="2295144"/>
                    </a:xfrm>
                    <a:prstGeom prst="rect">
                      <a:avLst/>
                    </a:prstGeom>
                    <a:noFill/>
                  </pic:spPr>
                </pic:pic>
              </a:graphicData>
            </a:graphic>
          </wp:inline>
        </w:drawing>
      </w:r>
    </w:p>
    <w:p w14:paraId="307FB87D" w14:textId="165C0892" w:rsidR="00B01473" w:rsidRDefault="00E36ED4" w:rsidP="00861DEA">
      <w:pPr>
        <w:pStyle w:val="Caption"/>
        <w:jc w:val="center"/>
        <w:rPr>
          <w:rFonts w:asciiTheme="majorBidi" w:hAnsiTheme="majorBidi" w:cstheme="majorBidi"/>
          <w:sz w:val="24"/>
          <w:szCs w:val="24"/>
        </w:rPr>
      </w:pPr>
      <w:bookmarkStart w:id="21" w:name="_Toc402702771"/>
      <w:r>
        <w:t xml:space="preserve">Figure </w:t>
      </w:r>
      <w:r w:rsidR="003D4928">
        <w:fldChar w:fldCharType="begin"/>
      </w:r>
      <w:r w:rsidR="003D4928">
        <w:instrText xml:space="preserve"> SEQ Figure \* ARABIC </w:instrText>
      </w:r>
      <w:r w:rsidR="003D4928">
        <w:fldChar w:fldCharType="separate"/>
      </w:r>
      <w:r w:rsidR="00A06CBD">
        <w:rPr>
          <w:noProof/>
        </w:rPr>
        <w:t>3</w:t>
      </w:r>
      <w:r w:rsidR="003D4928">
        <w:rPr>
          <w:noProof/>
        </w:rPr>
        <w:fldChar w:fldCharType="end"/>
      </w:r>
      <w:r>
        <w:t>: Sales of new LDVs in Morocco. (Matthias Gasnier 2014</w:t>
      </w:r>
      <w:bookmarkEnd w:id="21"/>
      <w:r w:rsidR="00E75255">
        <w:t>)</w:t>
      </w:r>
    </w:p>
    <w:p w14:paraId="2ED55CB1" w14:textId="77777777" w:rsidR="00E75255" w:rsidRDefault="00E75255" w:rsidP="00E75255">
      <w:pPr>
        <w:jc w:val="both"/>
        <w:rPr>
          <w:rFonts w:asciiTheme="majorBidi" w:hAnsiTheme="majorBidi" w:cstheme="majorBidi"/>
          <w:sz w:val="24"/>
          <w:szCs w:val="24"/>
        </w:rPr>
      </w:pPr>
    </w:p>
    <w:p w14:paraId="4A51BE81" w14:textId="77777777" w:rsidR="00724778" w:rsidRDefault="00B01473" w:rsidP="00E75255">
      <w:pPr>
        <w:jc w:val="both"/>
        <w:rPr>
          <w:rFonts w:asciiTheme="majorBidi" w:hAnsiTheme="majorBidi" w:cstheme="majorBidi"/>
          <w:sz w:val="24"/>
          <w:szCs w:val="24"/>
        </w:rPr>
      </w:pPr>
      <w:r w:rsidRPr="00B01473">
        <w:rPr>
          <w:rFonts w:asciiTheme="majorBidi" w:hAnsiTheme="majorBidi" w:cstheme="majorBidi"/>
          <w:sz w:val="24"/>
          <w:szCs w:val="24"/>
        </w:rPr>
        <w:t>The total number of vehicles on the road</w:t>
      </w:r>
      <w:r w:rsidR="00086D3F">
        <w:rPr>
          <w:rFonts w:asciiTheme="majorBidi" w:hAnsiTheme="majorBidi" w:cstheme="majorBidi"/>
          <w:sz w:val="24"/>
          <w:szCs w:val="24"/>
        </w:rPr>
        <w:t>, shown in Figure1,</w:t>
      </w:r>
      <w:r w:rsidRPr="00B01473">
        <w:rPr>
          <w:rFonts w:asciiTheme="majorBidi" w:hAnsiTheme="majorBidi" w:cstheme="majorBidi"/>
          <w:sz w:val="24"/>
          <w:szCs w:val="24"/>
        </w:rPr>
        <w:t xml:space="preserve"> reflects the difference in population sizes</w:t>
      </w:r>
      <w:r w:rsidR="003D1C24">
        <w:rPr>
          <w:rFonts w:asciiTheme="majorBidi" w:hAnsiTheme="majorBidi" w:cstheme="majorBidi"/>
          <w:sz w:val="24"/>
          <w:szCs w:val="24"/>
        </w:rPr>
        <w:t xml:space="preserve"> and growth rates</w:t>
      </w:r>
      <w:r w:rsidRPr="00B01473">
        <w:rPr>
          <w:rFonts w:asciiTheme="majorBidi" w:hAnsiTheme="majorBidi" w:cstheme="majorBidi"/>
          <w:sz w:val="24"/>
          <w:szCs w:val="24"/>
        </w:rPr>
        <w:t>. Tunisia’s population has remained around 10 million since 2006; Morocco’s population has increased by about 2 million to around 32 million</w:t>
      </w:r>
      <w:r w:rsidR="003D1C24">
        <w:rPr>
          <w:rFonts w:asciiTheme="majorBidi" w:hAnsiTheme="majorBidi" w:cstheme="majorBidi"/>
          <w:sz w:val="24"/>
          <w:szCs w:val="24"/>
        </w:rPr>
        <w:t xml:space="preserve"> from 2006;</w:t>
      </w:r>
      <w:r w:rsidR="003D1C24" w:rsidRPr="003D1C24">
        <w:rPr>
          <w:rFonts w:asciiTheme="majorBidi" w:hAnsiTheme="majorBidi" w:cstheme="majorBidi"/>
          <w:sz w:val="24"/>
          <w:szCs w:val="24"/>
        </w:rPr>
        <w:t xml:space="preserve"> Tunisia’s population has remained around 10 million since 2006</w:t>
      </w:r>
      <w:r w:rsidRPr="00B01473">
        <w:rPr>
          <w:rFonts w:asciiTheme="majorBidi" w:hAnsiTheme="majorBidi" w:cstheme="majorBidi"/>
          <w:sz w:val="24"/>
          <w:szCs w:val="24"/>
        </w:rPr>
        <w:t xml:space="preserve"> </w:t>
      </w:r>
      <w:r w:rsidR="00B15EBB">
        <w:rPr>
          <w:rFonts w:asciiTheme="majorBidi" w:hAnsiTheme="majorBidi" w:cstheme="majorBidi"/>
          <w:sz w:val="24"/>
          <w:szCs w:val="24"/>
        </w:rPr>
        <w:t>while</w:t>
      </w:r>
      <w:r w:rsidRPr="00B01473">
        <w:rPr>
          <w:rFonts w:asciiTheme="majorBidi" w:hAnsiTheme="majorBidi" w:cstheme="majorBidi"/>
          <w:sz w:val="24"/>
          <w:szCs w:val="24"/>
        </w:rPr>
        <w:t xml:space="preserve"> Egypt</w:t>
      </w:r>
      <w:r w:rsidR="00B15EBB">
        <w:rPr>
          <w:rFonts w:asciiTheme="majorBidi" w:hAnsiTheme="majorBidi" w:cstheme="majorBidi"/>
          <w:sz w:val="24"/>
          <w:szCs w:val="24"/>
        </w:rPr>
        <w:t xml:space="preserve"> increased</w:t>
      </w:r>
      <w:r w:rsidRPr="00B01473">
        <w:rPr>
          <w:rFonts w:asciiTheme="majorBidi" w:hAnsiTheme="majorBidi" w:cstheme="majorBidi"/>
          <w:sz w:val="24"/>
          <w:szCs w:val="24"/>
        </w:rPr>
        <w:t xml:space="preserve"> by 12 million to around 82 million over the same period (Quandl, 2014).</w:t>
      </w:r>
      <w:r w:rsidR="00B15EBB">
        <w:rPr>
          <w:rFonts w:asciiTheme="majorBidi" w:hAnsiTheme="majorBidi" w:cstheme="majorBidi"/>
          <w:sz w:val="24"/>
          <w:szCs w:val="24"/>
        </w:rPr>
        <w:t xml:space="preserve"> </w:t>
      </w:r>
      <w:r w:rsidR="006B1FC5">
        <w:rPr>
          <w:rFonts w:asciiTheme="majorBidi" w:hAnsiTheme="majorBidi" w:cstheme="majorBidi"/>
          <w:sz w:val="24"/>
          <w:szCs w:val="24"/>
        </w:rPr>
        <w:t>Moroccan p</w:t>
      </w:r>
      <w:r w:rsidR="00B15EBB">
        <w:rPr>
          <w:rFonts w:asciiTheme="majorBidi" w:hAnsiTheme="majorBidi" w:cstheme="majorBidi"/>
          <w:sz w:val="24"/>
          <w:szCs w:val="24"/>
        </w:rPr>
        <w:t>opulation growth rate</w:t>
      </w:r>
      <w:r w:rsidR="006B1FC5">
        <w:rPr>
          <w:rFonts w:asciiTheme="majorBidi" w:hAnsiTheme="majorBidi" w:cstheme="majorBidi"/>
          <w:sz w:val="24"/>
          <w:szCs w:val="24"/>
        </w:rPr>
        <w:t xml:space="preserve"> </w:t>
      </w:r>
      <w:r w:rsidR="00B15EBB">
        <w:rPr>
          <w:rFonts w:asciiTheme="majorBidi" w:hAnsiTheme="majorBidi" w:cstheme="majorBidi"/>
          <w:sz w:val="24"/>
          <w:szCs w:val="24"/>
        </w:rPr>
        <w:t>in 201</w:t>
      </w:r>
      <w:r w:rsidR="006B1FC5">
        <w:rPr>
          <w:rFonts w:asciiTheme="majorBidi" w:hAnsiTheme="majorBidi" w:cstheme="majorBidi"/>
          <w:sz w:val="24"/>
          <w:szCs w:val="24"/>
        </w:rPr>
        <w:t>4 has been 1.02%</w:t>
      </w:r>
    </w:p>
    <w:p w14:paraId="3D062A4A" w14:textId="77777777" w:rsidR="00080634" w:rsidRDefault="00080634" w:rsidP="00E75255">
      <w:pPr>
        <w:jc w:val="both"/>
        <w:rPr>
          <w:rFonts w:asciiTheme="majorBidi" w:hAnsiTheme="majorBidi" w:cstheme="majorBidi"/>
          <w:sz w:val="24"/>
          <w:szCs w:val="24"/>
        </w:rPr>
      </w:pPr>
      <w:r>
        <w:rPr>
          <w:rFonts w:asciiTheme="majorBidi" w:hAnsiTheme="majorBidi" w:cstheme="majorBidi"/>
          <w:sz w:val="24"/>
          <w:szCs w:val="24"/>
        </w:rPr>
        <w:t xml:space="preserve">GDP growth in Morocco has averaged 4.43 from 1999 to 2014 with only two </w:t>
      </w:r>
      <w:r w:rsidR="00B15EBB">
        <w:rPr>
          <w:rFonts w:asciiTheme="majorBidi" w:hAnsiTheme="majorBidi" w:cstheme="majorBidi"/>
          <w:sz w:val="24"/>
          <w:szCs w:val="24"/>
        </w:rPr>
        <w:t>incidences of sharp fluctuations (tradingeconomics.com, 2014). The steady GDP growth</w:t>
      </w:r>
      <w:r w:rsidR="006B1FC5">
        <w:rPr>
          <w:rFonts w:asciiTheme="majorBidi" w:hAnsiTheme="majorBidi" w:cstheme="majorBidi"/>
          <w:sz w:val="24"/>
          <w:szCs w:val="24"/>
        </w:rPr>
        <w:t xml:space="preserve"> and the low population growth rates compared to Arab countries are concomitant </w:t>
      </w:r>
      <w:r w:rsidR="00B2480C">
        <w:rPr>
          <w:rFonts w:asciiTheme="majorBidi" w:hAnsiTheme="majorBidi" w:cstheme="majorBidi"/>
          <w:sz w:val="24"/>
          <w:szCs w:val="24"/>
        </w:rPr>
        <w:t xml:space="preserve">with a constant steady </w:t>
      </w:r>
      <w:r w:rsidR="00724CC3">
        <w:rPr>
          <w:rFonts w:asciiTheme="majorBidi" w:hAnsiTheme="majorBidi" w:cstheme="majorBidi"/>
          <w:sz w:val="24"/>
          <w:szCs w:val="24"/>
        </w:rPr>
        <w:t xml:space="preserve">increase of   total vehicles on the road of 2.36 </w:t>
      </w:r>
      <w:r w:rsidR="00B2480C">
        <w:rPr>
          <w:rFonts w:asciiTheme="majorBidi" w:hAnsiTheme="majorBidi" w:cstheme="majorBidi"/>
          <w:sz w:val="24"/>
          <w:szCs w:val="24"/>
        </w:rPr>
        <w:t>million,</w:t>
      </w:r>
      <w:r w:rsidR="00724CC3">
        <w:rPr>
          <w:rFonts w:asciiTheme="majorBidi" w:hAnsiTheme="majorBidi" w:cstheme="majorBidi"/>
          <w:sz w:val="24"/>
          <w:szCs w:val="24"/>
        </w:rPr>
        <w:t xml:space="preserve"> 2.45 million</w:t>
      </w:r>
      <w:r w:rsidR="00086D3F">
        <w:rPr>
          <w:rFonts w:asciiTheme="majorBidi" w:hAnsiTheme="majorBidi" w:cstheme="majorBidi"/>
          <w:sz w:val="24"/>
          <w:szCs w:val="24"/>
        </w:rPr>
        <w:t>, 2.6million and 2.72 million for</w:t>
      </w:r>
      <w:r w:rsidR="00724CC3">
        <w:rPr>
          <w:rFonts w:asciiTheme="majorBidi" w:hAnsiTheme="majorBidi" w:cstheme="majorBidi"/>
          <w:sz w:val="24"/>
          <w:szCs w:val="24"/>
        </w:rPr>
        <w:t xml:space="preserve"> 2009, 2010, 2011 and 2012, respectively</w:t>
      </w:r>
      <w:r w:rsidR="0090250A">
        <w:rPr>
          <w:rFonts w:asciiTheme="majorBidi" w:hAnsiTheme="majorBidi" w:cstheme="majorBidi"/>
          <w:sz w:val="24"/>
          <w:szCs w:val="24"/>
        </w:rPr>
        <w:t xml:space="preserve"> (OICA, 2012)</w:t>
      </w:r>
      <w:r w:rsidR="00724CC3">
        <w:rPr>
          <w:rFonts w:asciiTheme="majorBidi" w:hAnsiTheme="majorBidi" w:cstheme="majorBidi"/>
          <w:sz w:val="24"/>
          <w:szCs w:val="24"/>
        </w:rPr>
        <w:t>.</w:t>
      </w:r>
    </w:p>
    <w:p w14:paraId="3091210A" w14:textId="77777777" w:rsidR="00ED59DE" w:rsidRDefault="00086D3F" w:rsidP="00E75255">
      <w:pPr>
        <w:jc w:val="both"/>
        <w:rPr>
          <w:rFonts w:asciiTheme="majorBidi" w:hAnsiTheme="majorBidi" w:cstheme="majorBidi"/>
          <w:sz w:val="24"/>
          <w:szCs w:val="24"/>
        </w:rPr>
      </w:pPr>
      <w:r>
        <w:rPr>
          <w:rFonts w:asciiTheme="majorBidi" w:hAnsiTheme="majorBidi" w:cstheme="majorBidi"/>
          <w:sz w:val="24"/>
          <w:szCs w:val="24"/>
        </w:rPr>
        <w:t xml:space="preserve">Sales of new LDVs, on the other hand, were </w:t>
      </w:r>
      <w:r w:rsidRPr="00086D3F">
        <w:rPr>
          <w:rFonts w:asciiTheme="majorBidi" w:hAnsiTheme="majorBidi" w:cstheme="majorBidi"/>
          <w:sz w:val="24"/>
          <w:szCs w:val="24"/>
        </w:rPr>
        <w:t>64</w:t>
      </w:r>
      <w:r w:rsidR="00ED59DE">
        <w:rPr>
          <w:rFonts w:asciiTheme="majorBidi" w:hAnsiTheme="majorBidi" w:cstheme="majorBidi"/>
          <w:sz w:val="24"/>
          <w:szCs w:val="24"/>
        </w:rPr>
        <w:t>,</w:t>
      </w:r>
      <w:r w:rsidRPr="00086D3F">
        <w:rPr>
          <w:rFonts w:asciiTheme="majorBidi" w:hAnsiTheme="majorBidi" w:cstheme="majorBidi"/>
          <w:sz w:val="24"/>
          <w:szCs w:val="24"/>
        </w:rPr>
        <w:t>517</w:t>
      </w:r>
      <w:r w:rsidR="00ED59DE">
        <w:rPr>
          <w:rFonts w:asciiTheme="majorBidi" w:hAnsiTheme="majorBidi" w:cstheme="majorBidi"/>
          <w:sz w:val="24"/>
          <w:szCs w:val="24"/>
        </w:rPr>
        <w:t>,</w:t>
      </w:r>
      <w:r w:rsidR="00ED59DE" w:rsidRPr="00ED59DE">
        <w:rPr>
          <w:rFonts w:ascii="Verdana" w:hAnsi="Verdana"/>
          <w:sz w:val="20"/>
          <w:szCs w:val="20"/>
        </w:rPr>
        <w:t xml:space="preserve"> </w:t>
      </w:r>
      <w:r w:rsidR="00ED59DE" w:rsidRPr="00ED59DE">
        <w:rPr>
          <w:rFonts w:asciiTheme="majorBidi" w:hAnsiTheme="majorBidi" w:cstheme="majorBidi"/>
          <w:sz w:val="24"/>
          <w:szCs w:val="24"/>
        </w:rPr>
        <w:t>79</w:t>
      </w:r>
      <w:r w:rsidR="00ED59DE">
        <w:rPr>
          <w:rFonts w:asciiTheme="majorBidi" w:hAnsiTheme="majorBidi" w:cstheme="majorBidi"/>
          <w:sz w:val="24"/>
          <w:szCs w:val="24"/>
        </w:rPr>
        <w:t>,</w:t>
      </w:r>
      <w:r w:rsidR="00ED59DE" w:rsidRPr="00ED59DE">
        <w:rPr>
          <w:rFonts w:asciiTheme="majorBidi" w:hAnsiTheme="majorBidi" w:cstheme="majorBidi"/>
          <w:sz w:val="24"/>
          <w:szCs w:val="24"/>
        </w:rPr>
        <w:t>627</w:t>
      </w:r>
      <w:r w:rsidR="00ED59DE">
        <w:rPr>
          <w:rFonts w:asciiTheme="majorBidi" w:hAnsiTheme="majorBidi" w:cstheme="majorBidi"/>
          <w:sz w:val="24"/>
          <w:szCs w:val="24"/>
        </w:rPr>
        <w:t xml:space="preserve">, </w:t>
      </w:r>
      <w:r w:rsidR="00ED59DE" w:rsidRPr="00ED59DE">
        <w:rPr>
          <w:rFonts w:asciiTheme="majorBidi" w:hAnsiTheme="majorBidi" w:cstheme="majorBidi"/>
          <w:sz w:val="24"/>
          <w:szCs w:val="24"/>
        </w:rPr>
        <w:t>82</w:t>
      </w:r>
      <w:r w:rsidR="00ED59DE">
        <w:rPr>
          <w:rFonts w:asciiTheme="majorBidi" w:hAnsiTheme="majorBidi" w:cstheme="majorBidi"/>
          <w:sz w:val="24"/>
          <w:szCs w:val="24"/>
        </w:rPr>
        <w:t>,</w:t>
      </w:r>
      <w:r w:rsidR="00ED59DE" w:rsidRPr="00ED59DE">
        <w:rPr>
          <w:rFonts w:asciiTheme="majorBidi" w:hAnsiTheme="majorBidi" w:cstheme="majorBidi"/>
          <w:sz w:val="24"/>
          <w:szCs w:val="24"/>
        </w:rPr>
        <w:t>294</w:t>
      </w:r>
      <w:r w:rsidR="00ED59DE">
        <w:rPr>
          <w:rFonts w:asciiTheme="majorBidi" w:hAnsiTheme="majorBidi" w:cstheme="majorBidi"/>
          <w:sz w:val="24"/>
          <w:szCs w:val="24"/>
        </w:rPr>
        <w:t xml:space="preserve"> vehicles for 2009, 2012 and 2013, respectively. The increase in sales can be attributed to elements of the Moroccan policy environment, which are discussed in the next section.</w:t>
      </w:r>
    </w:p>
    <w:p w14:paraId="4AAD5366" w14:textId="77777777" w:rsidR="00ED59DE" w:rsidRPr="00ED59DE" w:rsidRDefault="00ED59DE" w:rsidP="00F10DFD">
      <w:pPr>
        <w:pStyle w:val="Heading1"/>
      </w:pPr>
      <w:bookmarkStart w:id="22" w:name="_Toc402703205"/>
      <w:r w:rsidRPr="00ED59DE">
        <w:t>LDVs Policy Environment in Morocco</w:t>
      </w:r>
      <w:bookmarkEnd w:id="22"/>
    </w:p>
    <w:p w14:paraId="766556EE" w14:textId="77777777" w:rsidR="00414DE3" w:rsidRDefault="00600E4A" w:rsidP="00E75255">
      <w:pPr>
        <w:jc w:val="both"/>
        <w:rPr>
          <w:rFonts w:asciiTheme="majorBidi" w:hAnsiTheme="majorBidi" w:cstheme="majorBidi"/>
          <w:sz w:val="24"/>
          <w:szCs w:val="24"/>
        </w:rPr>
      </w:pPr>
      <w:r>
        <w:rPr>
          <w:rFonts w:asciiTheme="majorBidi" w:hAnsiTheme="majorBidi" w:cstheme="majorBidi"/>
          <w:sz w:val="24"/>
          <w:szCs w:val="24"/>
        </w:rPr>
        <w:t xml:space="preserve">Since 1999 Morocco has been embarked on an accelerated path towards trade liberalization and a market oriented economy. </w:t>
      </w:r>
      <w:r w:rsidR="00615A1A">
        <w:rPr>
          <w:rFonts w:asciiTheme="majorBidi" w:hAnsiTheme="majorBidi" w:cstheme="majorBidi"/>
          <w:sz w:val="24"/>
          <w:szCs w:val="24"/>
        </w:rPr>
        <w:t xml:space="preserve">Now </w:t>
      </w:r>
      <w:r w:rsidR="00615A1A" w:rsidRPr="00615A1A">
        <w:rPr>
          <w:rFonts w:asciiTheme="majorBidi" w:hAnsiTheme="majorBidi" w:cstheme="majorBidi"/>
          <w:sz w:val="24"/>
          <w:szCs w:val="24"/>
        </w:rPr>
        <w:t xml:space="preserve">prices </w:t>
      </w:r>
      <w:r w:rsidR="00615A1A">
        <w:rPr>
          <w:rFonts w:asciiTheme="majorBidi" w:hAnsiTheme="majorBidi" w:cstheme="majorBidi"/>
          <w:sz w:val="24"/>
          <w:szCs w:val="24"/>
        </w:rPr>
        <w:t xml:space="preserve">are determined according to market forces </w:t>
      </w:r>
      <w:r w:rsidR="00615A1A" w:rsidRPr="00615A1A">
        <w:rPr>
          <w:rFonts w:asciiTheme="majorBidi" w:hAnsiTheme="majorBidi" w:cstheme="majorBidi"/>
          <w:sz w:val="24"/>
          <w:szCs w:val="24"/>
        </w:rPr>
        <w:t xml:space="preserve">without </w:t>
      </w:r>
      <w:r w:rsidR="00615A1A">
        <w:rPr>
          <w:rFonts w:asciiTheme="majorBidi" w:hAnsiTheme="majorBidi" w:cstheme="majorBidi"/>
          <w:sz w:val="24"/>
          <w:szCs w:val="24"/>
        </w:rPr>
        <w:t>substantial government interference</w:t>
      </w:r>
      <w:r w:rsidR="00615A1A" w:rsidRPr="00615A1A">
        <w:rPr>
          <w:rFonts w:asciiTheme="majorBidi" w:hAnsiTheme="majorBidi" w:cstheme="majorBidi"/>
          <w:sz w:val="24"/>
          <w:szCs w:val="24"/>
        </w:rPr>
        <w:t>. All goods and services may be imported</w:t>
      </w:r>
      <w:r w:rsidR="00615A1A">
        <w:rPr>
          <w:rFonts w:asciiTheme="majorBidi" w:hAnsiTheme="majorBidi" w:cstheme="majorBidi"/>
          <w:sz w:val="24"/>
          <w:szCs w:val="24"/>
        </w:rPr>
        <w:t>.  This comes in line with a Moroccan policy of developing local industries, especially in technologically intensive industries where automotive industry upholds a key position in government strategy</w:t>
      </w:r>
      <w:r w:rsidR="00414DE3">
        <w:rPr>
          <w:rFonts w:asciiTheme="majorBidi" w:hAnsiTheme="majorBidi" w:cstheme="majorBidi"/>
          <w:sz w:val="24"/>
          <w:szCs w:val="24"/>
        </w:rPr>
        <w:t>.</w:t>
      </w:r>
      <w:r w:rsidR="00615A1A">
        <w:rPr>
          <w:rFonts w:asciiTheme="majorBidi" w:hAnsiTheme="majorBidi" w:cstheme="majorBidi"/>
          <w:sz w:val="24"/>
          <w:szCs w:val="24"/>
        </w:rPr>
        <w:t xml:space="preserve"> </w:t>
      </w:r>
    </w:p>
    <w:p w14:paraId="28C4D15D" w14:textId="77777777" w:rsidR="00600E4A" w:rsidRDefault="00414DE3" w:rsidP="00E75255">
      <w:pPr>
        <w:jc w:val="both"/>
        <w:rPr>
          <w:rFonts w:asciiTheme="majorBidi" w:hAnsiTheme="majorBidi" w:cstheme="majorBidi"/>
          <w:sz w:val="24"/>
          <w:szCs w:val="24"/>
        </w:rPr>
      </w:pPr>
      <w:r w:rsidRPr="00414DE3">
        <w:rPr>
          <w:rFonts w:asciiTheme="majorBidi" w:hAnsiTheme="majorBidi" w:cstheme="majorBidi"/>
          <w:sz w:val="24"/>
          <w:szCs w:val="24"/>
        </w:rPr>
        <w:t>Free trade agreemen</w:t>
      </w:r>
      <w:r w:rsidR="009D54D7">
        <w:rPr>
          <w:rFonts w:asciiTheme="majorBidi" w:hAnsiTheme="majorBidi" w:cstheme="majorBidi"/>
          <w:sz w:val="24"/>
          <w:szCs w:val="24"/>
        </w:rPr>
        <w:t>ts signed with USA, Turkey,</w:t>
      </w:r>
      <w:r w:rsidRPr="00414DE3">
        <w:rPr>
          <w:rFonts w:asciiTheme="majorBidi" w:hAnsiTheme="majorBidi" w:cstheme="majorBidi"/>
          <w:sz w:val="24"/>
          <w:szCs w:val="24"/>
        </w:rPr>
        <w:t xml:space="preserve"> Arab</w:t>
      </w:r>
      <w:r w:rsidR="009D54D7">
        <w:rPr>
          <w:rFonts w:asciiTheme="majorBidi" w:hAnsiTheme="majorBidi" w:cstheme="majorBidi"/>
          <w:sz w:val="24"/>
          <w:szCs w:val="24"/>
        </w:rPr>
        <w:t xml:space="preserve"> Countries and</w:t>
      </w:r>
      <w:r>
        <w:rPr>
          <w:rFonts w:asciiTheme="majorBidi" w:hAnsiTheme="majorBidi" w:cstheme="majorBidi"/>
          <w:sz w:val="24"/>
          <w:szCs w:val="24"/>
        </w:rPr>
        <w:t xml:space="preserve"> European Union (EU)</w:t>
      </w:r>
      <w:r w:rsidR="009D54D7">
        <w:rPr>
          <w:rFonts w:asciiTheme="majorBidi" w:hAnsiTheme="majorBidi" w:cstheme="majorBidi"/>
          <w:sz w:val="24"/>
          <w:szCs w:val="24"/>
        </w:rPr>
        <w:t xml:space="preserve"> leverages Morocco with free access to diverse</w:t>
      </w:r>
      <w:r>
        <w:rPr>
          <w:rFonts w:asciiTheme="majorBidi" w:hAnsiTheme="majorBidi" w:cstheme="majorBidi"/>
          <w:sz w:val="24"/>
          <w:szCs w:val="24"/>
        </w:rPr>
        <w:t xml:space="preserve"> market</w:t>
      </w:r>
      <w:r w:rsidR="009D54D7">
        <w:rPr>
          <w:rFonts w:asciiTheme="majorBidi" w:hAnsiTheme="majorBidi" w:cstheme="majorBidi"/>
          <w:sz w:val="24"/>
          <w:szCs w:val="24"/>
        </w:rPr>
        <w:t>s. Meanwhile, that orientation serves Moroccan aspirations of turning into a regional hub for automotive industries. Government policies are put in place</w:t>
      </w:r>
      <w:r w:rsidR="00236CBE">
        <w:rPr>
          <w:rFonts w:asciiTheme="majorBidi" w:hAnsiTheme="majorBidi" w:cstheme="majorBidi"/>
          <w:sz w:val="24"/>
          <w:szCs w:val="24"/>
        </w:rPr>
        <w:t xml:space="preserve"> to capitalize on Morocco’s </w:t>
      </w:r>
      <w:r w:rsidR="0018210D">
        <w:rPr>
          <w:rFonts w:asciiTheme="majorBidi" w:hAnsiTheme="majorBidi" w:cstheme="majorBidi"/>
          <w:sz w:val="24"/>
          <w:szCs w:val="24"/>
        </w:rPr>
        <w:t xml:space="preserve">trade </w:t>
      </w:r>
      <w:r w:rsidR="00236CBE">
        <w:rPr>
          <w:rFonts w:asciiTheme="majorBidi" w:hAnsiTheme="majorBidi" w:cstheme="majorBidi"/>
          <w:sz w:val="24"/>
          <w:szCs w:val="24"/>
        </w:rPr>
        <w:t>relations.</w:t>
      </w:r>
      <w:r w:rsidR="0018210D">
        <w:rPr>
          <w:rFonts w:asciiTheme="majorBidi" w:hAnsiTheme="majorBidi" w:cstheme="majorBidi"/>
          <w:sz w:val="24"/>
          <w:szCs w:val="24"/>
        </w:rPr>
        <w:t xml:space="preserve"> Industrial free zones are dedicated to automotive </w:t>
      </w:r>
      <w:r w:rsidR="00843FDF">
        <w:rPr>
          <w:rFonts w:asciiTheme="majorBidi" w:hAnsiTheme="majorBidi" w:cstheme="majorBidi"/>
          <w:sz w:val="24"/>
          <w:szCs w:val="24"/>
        </w:rPr>
        <w:t>manufacturers;</w:t>
      </w:r>
      <w:r w:rsidR="0018210D">
        <w:rPr>
          <w:rFonts w:asciiTheme="majorBidi" w:hAnsiTheme="majorBidi" w:cstheme="majorBidi"/>
          <w:sz w:val="24"/>
          <w:szCs w:val="24"/>
        </w:rPr>
        <w:t xml:space="preserve"> training programs are set up to prepare specialized labor</w:t>
      </w:r>
      <w:r w:rsidR="00843FDF">
        <w:rPr>
          <w:rFonts w:asciiTheme="majorBidi" w:hAnsiTheme="majorBidi" w:cstheme="majorBidi"/>
          <w:sz w:val="24"/>
          <w:szCs w:val="24"/>
        </w:rPr>
        <w:t>, that</w:t>
      </w:r>
      <w:r w:rsidR="0050486C">
        <w:rPr>
          <w:rFonts w:asciiTheme="majorBidi" w:hAnsiTheme="majorBidi" w:cstheme="majorBidi"/>
          <w:sz w:val="24"/>
          <w:szCs w:val="24"/>
        </w:rPr>
        <w:t xml:space="preserve"> is</w:t>
      </w:r>
      <w:r w:rsidR="00843FDF">
        <w:rPr>
          <w:rFonts w:asciiTheme="majorBidi" w:hAnsiTheme="majorBidi" w:cstheme="majorBidi"/>
          <w:sz w:val="24"/>
          <w:szCs w:val="24"/>
        </w:rPr>
        <w:t>,</w:t>
      </w:r>
      <w:r w:rsidR="0050486C">
        <w:rPr>
          <w:rFonts w:asciiTheme="majorBidi" w:hAnsiTheme="majorBidi" w:cstheme="majorBidi"/>
          <w:sz w:val="24"/>
          <w:szCs w:val="24"/>
        </w:rPr>
        <w:t xml:space="preserve"> in addition to tax break</w:t>
      </w:r>
      <w:r w:rsidR="005F4782">
        <w:rPr>
          <w:rFonts w:asciiTheme="majorBidi" w:hAnsiTheme="majorBidi" w:cstheme="majorBidi"/>
          <w:sz w:val="24"/>
          <w:szCs w:val="24"/>
        </w:rPr>
        <w:t>s</w:t>
      </w:r>
      <w:r w:rsidR="00843FDF">
        <w:rPr>
          <w:rFonts w:asciiTheme="majorBidi" w:hAnsiTheme="majorBidi" w:cstheme="majorBidi"/>
          <w:sz w:val="24"/>
          <w:szCs w:val="24"/>
        </w:rPr>
        <w:t xml:space="preserve"> and </w:t>
      </w:r>
      <w:r w:rsidR="0050486C">
        <w:rPr>
          <w:rFonts w:asciiTheme="majorBidi" w:hAnsiTheme="majorBidi" w:cstheme="majorBidi"/>
          <w:sz w:val="24"/>
          <w:szCs w:val="24"/>
        </w:rPr>
        <w:t xml:space="preserve">capital assistance </w:t>
      </w:r>
      <w:r w:rsidR="00843FDF">
        <w:rPr>
          <w:rFonts w:asciiTheme="majorBidi" w:hAnsiTheme="majorBidi" w:cstheme="majorBidi"/>
          <w:sz w:val="24"/>
          <w:szCs w:val="24"/>
        </w:rPr>
        <w:t>to tooling and buildings.</w:t>
      </w:r>
    </w:p>
    <w:p w14:paraId="21A09BA7" w14:textId="77777777" w:rsidR="004F4446" w:rsidRDefault="00E61548" w:rsidP="00E75255">
      <w:pPr>
        <w:jc w:val="both"/>
        <w:rPr>
          <w:rFonts w:asciiTheme="majorBidi" w:hAnsiTheme="majorBidi" w:cstheme="majorBidi"/>
          <w:sz w:val="24"/>
          <w:szCs w:val="24"/>
        </w:rPr>
      </w:pPr>
      <w:r w:rsidRPr="00E61548">
        <w:rPr>
          <w:rFonts w:asciiTheme="majorBidi" w:hAnsiTheme="majorBidi" w:cstheme="majorBidi"/>
          <w:sz w:val="24"/>
          <w:szCs w:val="24"/>
        </w:rPr>
        <w:t>VAT is levied on both local made cars and imported ones in two different schemes. For imported ones it includes the due domestic consumption tax, import duties, if any, and the customs value. The VAT rate varies between 7% and 20%</w:t>
      </w:r>
      <w:r w:rsidR="00551D83">
        <w:rPr>
          <w:rFonts w:asciiTheme="majorBidi" w:hAnsiTheme="majorBidi" w:cstheme="majorBidi"/>
          <w:sz w:val="24"/>
          <w:szCs w:val="24"/>
        </w:rPr>
        <w:t xml:space="preserve"> (PKF</w:t>
      </w:r>
      <w:r w:rsidRPr="00E61548">
        <w:rPr>
          <w:rFonts w:asciiTheme="majorBidi" w:hAnsiTheme="majorBidi" w:cstheme="majorBidi"/>
          <w:sz w:val="24"/>
          <w:szCs w:val="24"/>
        </w:rPr>
        <w:t>,</w:t>
      </w:r>
      <w:r w:rsidR="00551D83">
        <w:rPr>
          <w:rFonts w:asciiTheme="majorBidi" w:hAnsiTheme="majorBidi" w:cstheme="majorBidi"/>
          <w:sz w:val="24"/>
          <w:szCs w:val="24"/>
        </w:rPr>
        <w:t xml:space="preserve"> 2012)</w:t>
      </w:r>
      <w:r w:rsidR="00291832">
        <w:rPr>
          <w:rFonts w:asciiTheme="majorBidi" w:hAnsiTheme="majorBidi" w:cstheme="majorBidi"/>
          <w:sz w:val="24"/>
          <w:szCs w:val="24"/>
        </w:rPr>
        <w:t>,</w:t>
      </w:r>
      <w:r w:rsidRPr="00E61548">
        <w:rPr>
          <w:rFonts w:asciiTheme="majorBidi" w:hAnsiTheme="majorBidi" w:cstheme="majorBidi"/>
          <w:sz w:val="24"/>
          <w:szCs w:val="24"/>
        </w:rPr>
        <w:t xml:space="preserve"> taking into account trade agreements and investment relations with producer.</w:t>
      </w:r>
      <w:r>
        <w:rPr>
          <w:rFonts w:asciiTheme="majorBidi" w:hAnsiTheme="majorBidi" w:cstheme="majorBidi"/>
          <w:sz w:val="24"/>
          <w:szCs w:val="24"/>
        </w:rPr>
        <w:t xml:space="preserve"> </w:t>
      </w:r>
      <w:r w:rsidRPr="00E61548">
        <w:rPr>
          <w:rFonts w:asciiTheme="majorBidi" w:hAnsiTheme="majorBidi" w:cstheme="majorBidi"/>
          <w:sz w:val="24"/>
          <w:szCs w:val="24"/>
        </w:rPr>
        <w:t>In 2012 custom duties on cars imported from EU were eliminated</w:t>
      </w:r>
      <w:r w:rsidR="004F4446">
        <w:rPr>
          <w:rFonts w:asciiTheme="majorBidi" w:hAnsiTheme="majorBidi" w:cstheme="majorBidi"/>
          <w:sz w:val="24"/>
          <w:szCs w:val="24"/>
        </w:rPr>
        <w:t xml:space="preserve">. </w:t>
      </w:r>
      <w:r w:rsidR="00AF6675" w:rsidRPr="00AF6675">
        <w:rPr>
          <w:rFonts w:asciiTheme="majorBidi" w:hAnsiTheme="majorBidi" w:cstheme="majorBidi"/>
          <w:sz w:val="24"/>
          <w:szCs w:val="24"/>
        </w:rPr>
        <w:t>Asian cars are</w:t>
      </w:r>
      <w:r w:rsidR="00AF6675">
        <w:rPr>
          <w:rFonts w:asciiTheme="majorBidi" w:hAnsiTheme="majorBidi" w:cstheme="majorBidi"/>
          <w:sz w:val="24"/>
          <w:szCs w:val="24"/>
        </w:rPr>
        <w:t xml:space="preserve"> subject to 17.5% import duties, while</w:t>
      </w:r>
      <w:r w:rsidR="00AF6675" w:rsidRPr="00AF6675">
        <w:rPr>
          <w:rFonts w:asciiTheme="majorBidi" w:hAnsiTheme="majorBidi" w:cstheme="majorBidi"/>
          <w:sz w:val="24"/>
          <w:szCs w:val="24"/>
        </w:rPr>
        <w:t xml:space="preserve"> Free </w:t>
      </w:r>
      <w:r w:rsidR="00AF6675">
        <w:rPr>
          <w:rFonts w:asciiTheme="majorBidi" w:hAnsiTheme="majorBidi" w:cstheme="majorBidi"/>
          <w:sz w:val="24"/>
          <w:szCs w:val="24"/>
        </w:rPr>
        <w:t>Trade Agreement with the USA had led to</w:t>
      </w:r>
      <w:r w:rsidR="00AF6675" w:rsidRPr="00AF6675">
        <w:rPr>
          <w:rFonts w:asciiTheme="majorBidi" w:hAnsiTheme="majorBidi" w:cstheme="majorBidi"/>
          <w:sz w:val="24"/>
          <w:szCs w:val="24"/>
        </w:rPr>
        <w:t xml:space="preserve"> lowered import tariffs on American cars</w:t>
      </w:r>
      <w:r w:rsidR="00A301DC">
        <w:rPr>
          <w:rFonts w:asciiTheme="majorBidi" w:hAnsiTheme="majorBidi" w:cstheme="majorBidi"/>
          <w:sz w:val="24"/>
          <w:szCs w:val="24"/>
        </w:rPr>
        <w:t xml:space="preserve"> (Focal Points, 2014)</w:t>
      </w:r>
      <w:r w:rsidR="00AF6675" w:rsidRPr="00AF6675">
        <w:rPr>
          <w:rFonts w:asciiTheme="majorBidi" w:hAnsiTheme="majorBidi" w:cstheme="majorBidi"/>
          <w:sz w:val="24"/>
          <w:szCs w:val="24"/>
        </w:rPr>
        <w:t>.</w:t>
      </w:r>
      <w:r w:rsidR="00291832">
        <w:rPr>
          <w:rFonts w:asciiTheme="majorBidi" w:hAnsiTheme="majorBidi" w:cstheme="majorBidi"/>
          <w:sz w:val="24"/>
          <w:szCs w:val="24"/>
        </w:rPr>
        <w:t xml:space="preserve"> </w:t>
      </w:r>
    </w:p>
    <w:p w14:paraId="2980185B" w14:textId="77777777" w:rsidR="00AF48B2" w:rsidRDefault="004F4446" w:rsidP="00E75255">
      <w:pPr>
        <w:jc w:val="both"/>
        <w:rPr>
          <w:rFonts w:asciiTheme="majorBidi" w:hAnsiTheme="majorBidi" w:cstheme="majorBidi"/>
          <w:sz w:val="24"/>
          <w:szCs w:val="24"/>
        </w:rPr>
      </w:pPr>
      <w:r>
        <w:rPr>
          <w:rFonts w:asciiTheme="majorBidi" w:hAnsiTheme="majorBidi" w:cstheme="majorBidi"/>
          <w:sz w:val="24"/>
          <w:szCs w:val="24"/>
        </w:rPr>
        <w:t xml:space="preserve"> The EU also </w:t>
      </w:r>
      <w:r w:rsidR="00E61548">
        <w:rPr>
          <w:rFonts w:asciiTheme="majorBidi" w:hAnsiTheme="majorBidi" w:cstheme="majorBidi"/>
          <w:sz w:val="24"/>
          <w:szCs w:val="24"/>
        </w:rPr>
        <w:t xml:space="preserve">happens </w:t>
      </w:r>
      <w:r>
        <w:rPr>
          <w:rFonts w:asciiTheme="majorBidi" w:hAnsiTheme="majorBidi" w:cstheme="majorBidi"/>
          <w:sz w:val="24"/>
          <w:szCs w:val="24"/>
        </w:rPr>
        <w:t xml:space="preserve">to be </w:t>
      </w:r>
      <w:r w:rsidR="00E61548">
        <w:rPr>
          <w:rFonts w:asciiTheme="majorBidi" w:hAnsiTheme="majorBidi" w:cstheme="majorBidi"/>
          <w:sz w:val="24"/>
          <w:szCs w:val="24"/>
        </w:rPr>
        <w:t>the biggest market of Moroccan made car</w:t>
      </w:r>
      <w:r>
        <w:rPr>
          <w:rFonts w:asciiTheme="majorBidi" w:hAnsiTheme="majorBidi" w:cstheme="majorBidi"/>
          <w:sz w:val="24"/>
          <w:szCs w:val="24"/>
        </w:rPr>
        <w:t>s</w:t>
      </w:r>
      <w:r w:rsidR="00E61548">
        <w:rPr>
          <w:rFonts w:asciiTheme="majorBidi" w:hAnsiTheme="majorBidi" w:cstheme="majorBidi"/>
          <w:sz w:val="24"/>
          <w:szCs w:val="24"/>
        </w:rPr>
        <w:t xml:space="preserve">.  For the Moroccan consumer, a diversified market exists with free competition between authorized </w:t>
      </w:r>
      <w:r w:rsidR="00857D31">
        <w:rPr>
          <w:rFonts w:asciiTheme="majorBidi" w:hAnsiTheme="majorBidi" w:cstheme="majorBidi"/>
          <w:sz w:val="24"/>
          <w:szCs w:val="24"/>
        </w:rPr>
        <w:t xml:space="preserve">dealers of </w:t>
      </w:r>
      <w:r w:rsidR="00857D31">
        <w:rPr>
          <w:rFonts w:asciiTheme="majorBidi" w:hAnsiTheme="majorBidi" w:cstheme="majorBidi"/>
          <w:sz w:val="24"/>
          <w:szCs w:val="24"/>
        </w:rPr>
        <w:lastRenderedPageBreak/>
        <w:t xml:space="preserve">various brands, </w:t>
      </w:r>
      <w:r w:rsidR="00E61548">
        <w:rPr>
          <w:rFonts w:asciiTheme="majorBidi" w:hAnsiTheme="majorBidi" w:cstheme="majorBidi"/>
          <w:sz w:val="24"/>
          <w:szCs w:val="24"/>
        </w:rPr>
        <w:t>where European producers who also happen to be the major invest</w:t>
      </w:r>
      <w:r w:rsidR="00857D31">
        <w:rPr>
          <w:rFonts w:asciiTheme="majorBidi" w:hAnsiTheme="majorBidi" w:cstheme="majorBidi"/>
          <w:sz w:val="24"/>
          <w:szCs w:val="24"/>
        </w:rPr>
        <w:t xml:space="preserve">ors in Moroccan </w:t>
      </w:r>
      <w:r w:rsidR="00E61548">
        <w:rPr>
          <w:rFonts w:asciiTheme="majorBidi" w:hAnsiTheme="majorBidi" w:cstheme="majorBidi"/>
          <w:sz w:val="24"/>
          <w:szCs w:val="24"/>
        </w:rPr>
        <w:t>domestic LDVs production</w:t>
      </w:r>
      <w:r w:rsidR="00857D31">
        <w:rPr>
          <w:rFonts w:asciiTheme="majorBidi" w:hAnsiTheme="majorBidi" w:cstheme="majorBidi"/>
          <w:sz w:val="24"/>
          <w:szCs w:val="24"/>
        </w:rPr>
        <w:t xml:space="preserve"> take up the lion’s share</w:t>
      </w:r>
      <w:r>
        <w:rPr>
          <w:rFonts w:asciiTheme="majorBidi" w:hAnsiTheme="majorBidi" w:cstheme="majorBidi"/>
          <w:sz w:val="24"/>
          <w:szCs w:val="24"/>
        </w:rPr>
        <w:t>.  Second and third tier automotive industries</w:t>
      </w:r>
      <w:r w:rsidR="00EC6388">
        <w:rPr>
          <w:rFonts w:asciiTheme="majorBidi" w:hAnsiTheme="majorBidi" w:cstheme="majorBidi"/>
          <w:sz w:val="24"/>
          <w:szCs w:val="24"/>
        </w:rPr>
        <w:t xml:space="preserve"> exist as well in Morocco with a considerable role for</w:t>
      </w:r>
      <w:r w:rsidR="00857D31">
        <w:rPr>
          <w:rFonts w:asciiTheme="majorBidi" w:hAnsiTheme="majorBidi" w:cstheme="majorBidi"/>
          <w:sz w:val="24"/>
          <w:szCs w:val="24"/>
        </w:rPr>
        <w:t xml:space="preserve"> Asian companies</w:t>
      </w:r>
      <w:r w:rsidR="00EC6388">
        <w:rPr>
          <w:rFonts w:asciiTheme="majorBidi" w:hAnsiTheme="majorBidi" w:cstheme="majorBidi"/>
          <w:sz w:val="24"/>
          <w:szCs w:val="24"/>
        </w:rPr>
        <w:t xml:space="preserve"> which</w:t>
      </w:r>
      <w:r w:rsidR="00857D31">
        <w:rPr>
          <w:rFonts w:asciiTheme="majorBidi" w:hAnsiTheme="majorBidi" w:cstheme="majorBidi"/>
          <w:sz w:val="24"/>
          <w:szCs w:val="24"/>
        </w:rPr>
        <w:t xml:space="preserve"> have set up their production lines</w:t>
      </w:r>
      <w:r w:rsidR="00EC6388">
        <w:rPr>
          <w:rFonts w:asciiTheme="majorBidi" w:hAnsiTheme="majorBidi" w:cstheme="majorBidi"/>
          <w:sz w:val="24"/>
          <w:szCs w:val="24"/>
        </w:rPr>
        <w:t xml:space="preserve"> in Morocco</w:t>
      </w:r>
      <w:r>
        <w:rPr>
          <w:rFonts w:asciiTheme="majorBidi" w:hAnsiTheme="majorBidi" w:cstheme="majorBidi"/>
          <w:sz w:val="24"/>
          <w:szCs w:val="24"/>
        </w:rPr>
        <w:t xml:space="preserve">.  Asian producers have been lobbying for </w:t>
      </w:r>
      <w:r w:rsidR="00EC6388">
        <w:rPr>
          <w:rFonts w:asciiTheme="majorBidi" w:hAnsiTheme="majorBidi" w:cstheme="majorBidi"/>
          <w:sz w:val="24"/>
          <w:szCs w:val="24"/>
        </w:rPr>
        <w:t>import duties deductions to boost their competiveness with European ones though it seems that t</w:t>
      </w:r>
      <w:r w:rsidR="00AF48B2">
        <w:rPr>
          <w:rFonts w:asciiTheme="majorBidi" w:hAnsiTheme="majorBidi" w:cstheme="majorBidi"/>
          <w:sz w:val="24"/>
          <w:szCs w:val="24"/>
        </w:rPr>
        <w:t xml:space="preserve">he key determinant in that regard </w:t>
      </w:r>
      <w:r w:rsidR="00EC6388">
        <w:rPr>
          <w:rFonts w:asciiTheme="majorBidi" w:hAnsiTheme="majorBidi" w:cstheme="majorBidi"/>
          <w:sz w:val="24"/>
          <w:szCs w:val="24"/>
        </w:rPr>
        <w:t>is investment in domestic production</w:t>
      </w:r>
      <w:r w:rsidR="00C72F62">
        <w:rPr>
          <w:rFonts w:asciiTheme="majorBidi" w:hAnsiTheme="majorBidi" w:cstheme="majorBidi"/>
          <w:sz w:val="24"/>
          <w:szCs w:val="24"/>
        </w:rPr>
        <w:t xml:space="preserve">. </w:t>
      </w:r>
      <w:r w:rsidR="00EA3CD0">
        <w:rPr>
          <w:rFonts w:asciiTheme="majorBidi" w:hAnsiTheme="majorBidi" w:cstheme="majorBidi"/>
          <w:sz w:val="24"/>
          <w:szCs w:val="24"/>
        </w:rPr>
        <w:t xml:space="preserve"> Nonetheless, the lobbying process and the provision of venues for </w:t>
      </w:r>
      <w:r w:rsidR="007B5E8E">
        <w:rPr>
          <w:rFonts w:asciiTheme="majorBidi" w:hAnsiTheme="majorBidi" w:cstheme="majorBidi"/>
          <w:sz w:val="24"/>
          <w:szCs w:val="24"/>
        </w:rPr>
        <w:t xml:space="preserve">the expression of interests of </w:t>
      </w:r>
      <w:r w:rsidR="00EA3CD0">
        <w:rPr>
          <w:rFonts w:asciiTheme="majorBidi" w:hAnsiTheme="majorBidi" w:cstheme="majorBidi"/>
          <w:sz w:val="24"/>
          <w:szCs w:val="24"/>
        </w:rPr>
        <w:t xml:space="preserve">competing producers </w:t>
      </w:r>
      <w:r w:rsidR="007B5E8E">
        <w:rPr>
          <w:rFonts w:asciiTheme="majorBidi" w:hAnsiTheme="majorBidi" w:cstheme="majorBidi"/>
          <w:sz w:val="24"/>
          <w:szCs w:val="24"/>
        </w:rPr>
        <w:t xml:space="preserve">and importers </w:t>
      </w:r>
      <w:r w:rsidR="00EA3CD0">
        <w:rPr>
          <w:rFonts w:asciiTheme="majorBidi" w:hAnsiTheme="majorBidi" w:cstheme="majorBidi"/>
          <w:sz w:val="24"/>
          <w:szCs w:val="24"/>
        </w:rPr>
        <w:t xml:space="preserve">are taken as indicators </w:t>
      </w:r>
      <w:r w:rsidR="007B5E8E">
        <w:rPr>
          <w:rFonts w:asciiTheme="majorBidi" w:hAnsiTheme="majorBidi" w:cstheme="majorBidi"/>
          <w:sz w:val="24"/>
          <w:szCs w:val="24"/>
        </w:rPr>
        <w:t>of a healthy and dynamic market.</w:t>
      </w:r>
    </w:p>
    <w:p w14:paraId="323327DC" w14:textId="77777777" w:rsidR="002D346C" w:rsidRDefault="00C72F62" w:rsidP="00E75255">
      <w:pPr>
        <w:jc w:val="both"/>
        <w:rPr>
          <w:rFonts w:asciiTheme="majorBidi" w:hAnsiTheme="majorBidi" w:cstheme="majorBidi"/>
          <w:sz w:val="24"/>
          <w:szCs w:val="24"/>
        </w:rPr>
      </w:pPr>
      <w:r>
        <w:rPr>
          <w:rFonts w:asciiTheme="majorBidi" w:hAnsiTheme="majorBidi" w:cstheme="majorBidi"/>
          <w:sz w:val="24"/>
          <w:szCs w:val="24"/>
        </w:rPr>
        <w:t>All in all, t</w:t>
      </w:r>
      <w:r w:rsidRPr="00C72F62">
        <w:rPr>
          <w:rFonts w:asciiTheme="majorBidi" w:hAnsiTheme="majorBidi" w:cstheme="majorBidi"/>
          <w:sz w:val="24"/>
          <w:szCs w:val="24"/>
        </w:rPr>
        <w:t>ariff barriers on imp</w:t>
      </w:r>
      <w:r>
        <w:rPr>
          <w:rFonts w:asciiTheme="majorBidi" w:hAnsiTheme="majorBidi" w:cstheme="majorBidi"/>
          <w:sz w:val="24"/>
          <w:szCs w:val="24"/>
        </w:rPr>
        <w:t>orted vehicles are significantly</w:t>
      </w:r>
      <w:r w:rsidRPr="00C72F62">
        <w:rPr>
          <w:rFonts w:asciiTheme="majorBidi" w:hAnsiTheme="majorBidi" w:cstheme="majorBidi"/>
          <w:sz w:val="24"/>
          <w:szCs w:val="24"/>
        </w:rPr>
        <w:t xml:space="preserve"> low</w:t>
      </w:r>
      <w:r>
        <w:rPr>
          <w:rFonts w:asciiTheme="majorBidi" w:hAnsiTheme="majorBidi" w:cstheme="majorBidi"/>
          <w:sz w:val="24"/>
          <w:szCs w:val="24"/>
        </w:rPr>
        <w:t xml:space="preserve"> in comparison</w:t>
      </w:r>
      <w:r w:rsidRPr="00C72F62">
        <w:rPr>
          <w:rFonts w:asciiTheme="majorBidi" w:hAnsiTheme="majorBidi" w:cstheme="majorBidi"/>
          <w:sz w:val="24"/>
          <w:szCs w:val="24"/>
        </w:rPr>
        <w:t xml:space="preserve"> with Tunisia and Egypt</w:t>
      </w:r>
      <w:r w:rsidR="00D35EE1">
        <w:rPr>
          <w:rFonts w:asciiTheme="majorBidi" w:hAnsiTheme="majorBidi" w:cstheme="majorBidi"/>
          <w:sz w:val="24"/>
          <w:szCs w:val="24"/>
        </w:rPr>
        <w:t xml:space="preserve"> with </w:t>
      </w:r>
      <w:r w:rsidR="00AF48B2">
        <w:rPr>
          <w:rFonts w:asciiTheme="majorBidi" w:hAnsiTheme="majorBidi" w:cstheme="majorBidi"/>
          <w:sz w:val="24"/>
          <w:szCs w:val="24"/>
        </w:rPr>
        <w:t xml:space="preserve">an </w:t>
      </w:r>
      <w:r w:rsidR="002D346C">
        <w:rPr>
          <w:rFonts w:asciiTheme="majorBidi" w:hAnsiTheme="majorBidi" w:cstheme="majorBidi"/>
          <w:sz w:val="24"/>
          <w:szCs w:val="24"/>
        </w:rPr>
        <w:t xml:space="preserve">end result of </w:t>
      </w:r>
      <w:r w:rsidR="00D35EE1">
        <w:rPr>
          <w:rFonts w:asciiTheme="majorBidi" w:hAnsiTheme="majorBidi" w:cstheme="majorBidi"/>
          <w:sz w:val="24"/>
          <w:szCs w:val="24"/>
        </w:rPr>
        <w:t xml:space="preserve">citizens </w:t>
      </w:r>
      <w:r w:rsidR="00AF48B2">
        <w:rPr>
          <w:rFonts w:asciiTheme="majorBidi" w:hAnsiTheme="majorBidi" w:cstheme="majorBidi"/>
          <w:sz w:val="24"/>
          <w:szCs w:val="24"/>
        </w:rPr>
        <w:t xml:space="preserve">having </w:t>
      </w:r>
      <w:r w:rsidR="00D35EE1">
        <w:rPr>
          <w:rFonts w:asciiTheme="majorBidi" w:hAnsiTheme="majorBidi" w:cstheme="majorBidi"/>
          <w:sz w:val="24"/>
          <w:szCs w:val="24"/>
        </w:rPr>
        <w:t xml:space="preserve">access to many brands at </w:t>
      </w:r>
      <w:r w:rsidR="00EA3CD0">
        <w:rPr>
          <w:rFonts w:asciiTheme="majorBidi" w:hAnsiTheme="majorBidi" w:cstheme="majorBidi"/>
          <w:sz w:val="24"/>
          <w:szCs w:val="24"/>
        </w:rPr>
        <w:t xml:space="preserve">relatively </w:t>
      </w:r>
      <w:r w:rsidR="00D35EE1">
        <w:rPr>
          <w:rFonts w:asciiTheme="majorBidi" w:hAnsiTheme="majorBidi" w:cstheme="majorBidi"/>
          <w:sz w:val="24"/>
          <w:szCs w:val="24"/>
        </w:rPr>
        <w:t>affordable prices.</w:t>
      </w:r>
    </w:p>
    <w:p w14:paraId="6F8D03BA" w14:textId="77777777" w:rsidR="007B5E8E" w:rsidRDefault="002D346C" w:rsidP="00E75255">
      <w:pPr>
        <w:jc w:val="both"/>
        <w:rPr>
          <w:rFonts w:asciiTheme="majorBidi" w:hAnsiTheme="majorBidi" w:cstheme="majorBidi"/>
          <w:sz w:val="24"/>
          <w:szCs w:val="24"/>
        </w:rPr>
      </w:pPr>
      <w:r>
        <w:rPr>
          <w:rFonts w:asciiTheme="majorBidi" w:hAnsiTheme="majorBidi" w:cstheme="majorBidi"/>
          <w:sz w:val="24"/>
          <w:szCs w:val="24"/>
        </w:rPr>
        <w:t>Fuels for LDVs in Morocco</w:t>
      </w:r>
      <w:r w:rsidR="009243D2">
        <w:rPr>
          <w:rFonts w:asciiTheme="majorBidi" w:hAnsiTheme="majorBidi" w:cstheme="majorBidi"/>
          <w:sz w:val="24"/>
          <w:szCs w:val="24"/>
        </w:rPr>
        <w:t xml:space="preserve"> are </w:t>
      </w:r>
      <w:r>
        <w:rPr>
          <w:rFonts w:asciiTheme="majorBidi" w:hAnsiTheme="majorBidi" w:cstheme="majorBidi"/>
          <w:sz w:val="24"/>
          <w:szCs w:val="24"/>
        </w:rPr>
        <w:t>subsidized, though the subsidy system is much less intense</w:t>
      </w:r>
      <w:r w:rsidR="00EA3CD0">
        <w:rPr>
          <w:rFonts w:asciiTheme="majorBidi" w:hAnsiTheme="majorBidi" w:cstheme="majorBidi"/>
          <w:sz w:val="24"/>
          <w:szCs w:val="24"/>
        </w:rPr>
        <w:t xml:space="preserve"> than other Arab countries.  With rising international oil prices, Morocco has been subsiding retail fuel since 2000 while they had been indexed to international prices before that year. </w:t>
      </w:r>
      <w:r w:rsidR="007B5E8E">
        <w:rPr>
          <w:rFonts w:asciiTheme="majorBidi" w:hAnsiTheme="majorBidi" w:cstheme="majorBidi"/>
          <w:sz w:val="24"/>
          <w:szCs w:val="24"/>
        </w:rPr>
        <w:t>Starting from 2012/2013 fuel subsidies have been capped and linked to oil prices fluctuations</w:t>
      </w:r>
      <w:r w:rsidR="009D3B7F">
        <w:rPr>
          <w:rFonts w:asciiTheme="majorBidi" w:hAnsiTheme="majorBidi" w:cstheme="majorBidi"/>
          <w:sz w:val="24"/>
          <w:szCs w:val="24"/>
        </w:rPr>
        <w:t xml:space="preserve"> (CIA, 2014)</w:t>
      </w:r>
      <w:r w:rsidR="007B5E8E">
        <w:rPr>
          <w:rFonts w:asciiTheme="majorBidi" w:hAnsiTheme="majorBidi" w:cstheme="majorBidi"/>
          <w:sz w:val="24"/>
          <w:szCs w:val="24"/>
        </w:rPr>
        <w:t xml:space="preserve">. </w:t>
      </w:r>
    </w:p>
    <w:p w14:paraId="0FD4EA7D" w14:textId="77777777" w:rsidR="00843FDF" w:rsidRDefault="007B5E8E" w:rsidP="00E75255">
      <w:pPr>
        <w:jc w:val="both"/>
        <w:rPr>
          <w:rFonts w:asciiTheme="majorBidi" w:hAnsiTheme="majorBidi" w:cstheme="majorBidi"/>
          <w:sz w:val="24"/>
          <w:szCs w:val="24"/>
        </w:rPr>
      </w:pPr>
      <w:r>
        <w:rPr>
          <w:rFonts w:asciiTheme="majorBidi" w:hAnsiTheme="majorBidi" w:cstheme="majorBidi"/>
          <w:sz w:val="24"/>
          <w:szCs w:val="24"/>
        </w:rPr>
        <w:t xml:space="preserve">The slashing of tariffs on European vehicles was followed by an </w:t>
      </w:r>
      <w:r w:rsidR="00DE20E8">
        <w:rPr>
          <w:rFonts w:asciiTheme="majorBidi" w:hAnsiTheme="majorBidi" w:cstheme="majorBidi"/>
          <w:sz w:val="24"/>
          <w:szCs w:val="24"/>
        </w:rPr>
        <w:t xml:space="preserve">increase in </w:t>
      </w:r>
      <w:r w:rsidR="00D40AA3">
        <w:rPr>
          <w:rFonts w:asciiTheme="majorBidi" w:hAnsiTheme="majorBidi" w:cstheme="majorBidi"/>
          <w:sz w:val="24"/>
          <w:szCs w:val="24"/>
        </w:rPr>
        <w:t>annual taxes proportional to the vehicle’s horsepower</w:t>
      </w:r>
      <w:r w:rsidR="00E27A84">
        <w:rPr>
          <w:rFonts w:asciiTheme="majorBidi" w:hAnsiTheme="majorBidi" w:cstheme="majorBidi"/>
          <w:sz w:val="24"/>
          <w:szCs w:val="24"/>
        </w:rPr>
        <w:t>. Apart from i</w:t>
      </w:r>
      <w:r w:rsidR="008922B7">
        <w:rPr>
          <w:rFonts w:asciiTheme="majorBidi" w:hAnsiTheme="majorBidi" w:cstheme="majorBidi"/>
          <w:sz w:val="24"/>
          <w:szCs w:val="24"/>
        </w:rPr>
        <w:t>nitial registration fees of 50 d</w:t>
      </w:r>
      <w:r w:rsidR="00E27A84">
        <w:rPr>
          <w:rFonts w:asciiTheme="majorBidi" w:hAnsiTheme="majorBidi" w:cstheme="majorBidi"/>
          <w:sz w:val="24"/>
          <w:szCs w:val="24"/>
        </w:rPr>
        <w:t>irhams for each boiler horsepower, annual taxes on vehicles were increased on a horsepower sliding scale</w:t>
      </w:r>
      <w:r w:rsidR="00123858">
        <w:rPr>
          <w:rFonts w:asciiTheme="majorBidi" w:hAnsiTheme="majorBidi" w:cstheme="majorBidi"/>
          <w:sz w:val="24"/>
          <w:szCs w:val="24"/>
        </w:rPr>
        <w:t xml:space="preserve"> </w:t>
      </w:r>
      <w:r w:rsidR="008922B7">
        <w:rPr>
          <w:rFonts w:asciiTheme="majorBidi" w:hAnsiTheme="majorBidi" w:cstheme="majorBidi"/>
          <w:sz w:val="24"/>
          <w:szCs w:val="24"/>
        </w:rPr>
        <w:t xml:space="preserve">for different horsepower ranges of 8 or less, 11-14 and 15 or more. </w:t>
      </w:r>
      <w:r w:rsidR="001F1E27">
        <w:rPr>
          <w:rFonts w:asciiTheme="majorBidi" w:hAnsiTheme="majorBidi" w:cstheme="majorBidi"/>
          <w:sz w:val="24"/>
          <w:szCs w:val="24"/>
        </w:rPr>
        <w:t>Luxury vehicles</w:t>
      </w:r>
      <w:r w:rsidR="008922B7">
        <w:rPr>
          <w:rFonts w:asciiTheme="majorBidi" w:hAnsiTheme="majorBidi" w:cstheme="majorBidi"/>
          <w:sz w:val="24"/>
          <w:szCs w:val="24"/>
        </w:rPr>
        <w:t>, defined as having a market cost of 400,000 dirhams</w:t>
      </w:r>
      <w:r w:rsidR="00D73FED">
        <w:rPr>
          <w:rFonts w:asciiTheme="majorBidi" w:hAnsiTheme="majorBidi" w:cstheme="majorBidi"/>
          <w:sz w:val="24"/>
          <w:szCs w:val="24"/>
        </w:rPr>
        <w:t xml:space="preserve"> </w:t>
      </w:r>
      <w:r w:rsidR="008922B7">
        <w:rPr>
          <w:rFonts w:asciiTheme="majorBidi" w:hAnsiTheme="majorBidi" w:cstheme="majorBidi"/>
          <w:sz w:val="24"/>
          <w:szCs w:val="24"/>
        </w:rPr>
        <w:t>were liable a trifold duties, including a rate that is function of the cost in addition to the standard initial registration fees</w:t>
      </w:r>
      <w:r w:rsidR="00FE3761">
        <w:rPr>
          <w:rFonts w:asciiTheme="majorBidi" w:hAnsiTheme="majorBidi" w:cstheme="majorBidi"/>
          <w:sz w:val="24"/>
          <w:szCs w:val="24"/>
        </w:rPr>
        <w:t xml:space="preserve"> and horsepower taxes</w:t>
      </w:r>
      <w:r w:rsidR="00D73FED">
        <w:rPr>
          <w:rFonts w:asciiTheme="majorBidi" w:hAnsiTheme="majorBidi" w:cstheme="majorBidi"/>
          <w:sz w:val="24"/>
          <w:szCs w:val="24"/>
        </w:rPr>
        <w:t>.</w:t>
      </w:r>
    </w:p>
    <w:p w14:paraId="763470E2" w14:textId="77777777" w:rsidR="00371DBF" w:rsidRDefault="00371DBF" w:rsidP="00E75255">
      <w:pPr>
        <w:jc w:val="both"/>
        <w:rPr>
          <w:rFonts w:asciiTheme="majorBidi" w:hAnsiTheme="majorBidi" w:cstheme="majorBidi"/>
          <w:sz w:val="24"/>
          <w:szCs w:val="24"/>
        </w:rPr>
      </w:pPr>
      <w:r>
        <w:rPr>
          <w:rFonts w:asciiTheme="majorBidi" w:hAnsiTheme="majorBidi" w:cstheme="majorBidi"/>
          <w:sz w:val="24"/>
          <w:szCs w:val="24"/>
        </w:rPr>
        <w:t xml:space="preserve">The slashing of tariffs on European vehicles had a noticeable impact on LDVs sales in 2012 which witnessed a surge to </w:t>
      </w:r>
      <w:r w:rsidRPr="00371DBF">
        <w:rPr>
          <w:rFonts w:asciiTheme="majorBidi" w:hAnsiTheme="majorBidi" w:cstheme="majorBidi"/>
          <w:sz w:val="24"/>
          <w:szCs w:val="24"/>
        </w:rPr>
        <w:t>79,627</w:t>
      </w:r>
      <w:r w:rsidR="00D50F6C">
        <w:rPr>
          <w:rFonts w:asciiTheme="majorBidi" w:hAnsiTheme="majorBidi" w:cstheme="majorBidi"/>
          <w:sz w:val="24"/>
          <w:szCs w:val="24"/>
        </w:rPr>
        <w:t xml:space="preserve"> vehicles compared to the</w:t>
      </w:r>
      <w:r w:rsidR="002C234E">
        <w:rPr>
          <w:rFonts w:asciiTheme="majorBidi" w:hAnsiTheme="majorBidi" w:cstheme="majorBidi"/>
          <w:sz w:val="24"/>
          <w:szCs w:val="24"/>
        </w:rPr>
        <w:t xml:space="preserve"> </w:t>
      </w:r>
      <w:r w:rsidR="002C234E" w:rsidRPr="002C234E">
        <w:rPr>
          <w:rFonts w:asciiTheme="majorBidi" w:hAnsiTheme="majorBidi" w:cstheme="majorBidi"/>
          <w:sz w:val="24"/>
          <w:szCs w:val="24"/>
        </w:rPr>
        <w:t>64,517</w:t>
      </w:r>
      <w:r w:rsidR="002C234E">
        <w:rPr>
          <w:rFonts w:asciiTheme="majorBidi" w:hAnsiTheme="majorBidi" w:cstheme="majorBidi"/>
          <w:sz w:val="24"/>
          <w:szCs w:val="24"/>
        </w:rPr>
        <w:t xml:space="preserve"> vehicles of 2009. The fuel subsidy </w:t>
      </w:r>
      <w:r w:rsidR="0038763D">
        <w:rPr>
          <w:rFonts w:asciiTheme="majorBidi" w:hAnsiTheme="majorBidi" w:cstheme="majorBidi"/>
          <w:sz w:val="24"/>
          <w:szCs w:val="24"/>
        </w:rPr>
        <w:t>cappi</w:t>
      </w:r>
      <w:r w:rsidR="00D22BCE">
        <w:rPr>
          <w:rFonts w:asciiTheme="majorBidi" w:hAnsiTheme="majorBidi" w:cstheme="majorBidi"/>
          <w:sz w:val="24"/>
          <w:szCs w:val="24"/>
        </w:rPr>
        <w:t xml:space="preserve">ng and the increased </w:t>
      </w:r>
      <w:r w:rsidR="0038763D">
        <w:rPr>
          <w:rFonts w:asciiTheme="majorBidi" w:hAnsiTheme="majorBidi" w:cstheme="majorBidi"/>
          <w:sz w:val="24"/>
          <w:szCs w:val="24"/>
        </w:rPr>
        <w:t>annual taxes put</w:t>
      </w:r>
      <w:r w:rsidR="00D22BCE">
        <w:rPr>
          <w:rFonts w:asciiTheme="majorBidi" w:hAnsiTheme="majorBidi" w:cstheme="majorBidi"/>
          <w:sz w:val="24"/>
          <w:szCs w:val="24"/>
        </w:rPr>
        <w:t xml:space="preserve"> a lid on what might otherwise </w:t>
      </w:r>
      <w:r w:rsidR="0038763D">
        <w:rPr>
          <w:rFonts w:asciiTheme="majorBidi" w:hAnsiTheme="majorBidi" w:cstheme="majorBidi"/>
          <w:sz w:val="24"/>
          <w:szCs w:val="24"/>
        </w:rPr>
        <w:t>have been an inexorable rise in LDVs sales</w:t>
      </w:r>
      <w:r w:rsidR="00D22BCE">
        <w:rPr>
          <w:rFonts w:asciiTheme="majorBidi" w:hAnsiTheme="majorBidi" w:cstheme="majorBidi"/>
          <w:sz w:val="24"/>
          <w:szCs w:val="24"/>
        </w:rPr>
        <w:t xml:space="preserve"> in 2013 where new LDVs sales rose</w:t>
      </w:r>
      <w:r w:rsidR="00142243">
        <w:rPr>
          <w:rFonts w:asciiTheme="majorBidi" w:hAnsiTheme="majorBidi" w:cstheme="majorBidi"/>
          <w:sz w:val="24"/>
          <w:szCs w:val="24"/>
        </w:rPr>
        <w:t xml:space="preserve"> only slightly to </w:t>
      </w:r>
      <w:r w:rsidR="00142243" w:rsidRPr="00142243">
        <w:rPr>
          <w:rFonts w:asciiTheme="majorBidi" w:hAnsiTheme="majorBidi" w:cstheme="majorBidi"/>
          <w:sz w:val="24"/>
          <w:szCs w:val="24"/>
        </w:rPr>
        <w:t>82,294</w:t>
      </w:r>
      <w:r w:rsidR="001F1E27">
        <w:rPr>
          <w:rFonts w:asciiTheme="majorBidi" w:hAnsiTheme="majorBidi" w:cstheme="majorBidi"/>
          <w:sz w:val="24"/>
          <w:szCs w:val="24"/>
        </w:rPr>
        <w:t xml:space="preserve"> vehicles</w:t>
      </w:r>
      <w:r w:rsidR="0038763D">
        <w:rPr>
          <w:rFonts w:asciiTheme="majorBidi" w:hAnsiTheme="majorBidi" w:cstheme="majorBidi"/>
          <w:sz w:val="24"/>
          <w:szCs w:val="24"/>
        </w:rPr>
        <w:t>.</w:t>
      </w:r>
    </w:p>
    <w:p w14:paraId="54DB8623" w14:textId="77777777" w:rsidR="001F1E27" w:rsidRDefault="001F1E27" w:rsidP="00E75255">
      <w:pPr>
        <w:jc w:val="both"/>
        <w:rPr>
          <w:rFonts w:asciiTheme="majorBidi" w:hAnsiTheme="majorBidi" w:cstheme="majorBidi"/>
          <w:sz w:val="24"/>
          <w:szCs w:val="24"/>
        </w:rPr>
      </w:pPr>
      <w:r>
        <w:rPr>
          <w:rFonts w:asciiTheme="majorBidi" w:hAnsiTheme="majorBidi" w:cstheme="majorBidi"/>
          <w:sz w:val="24"/>
          <w:szCs w:val="24"/>
        </w:rPr>
        <w:t>All the same, luxu</w:t>
      </w:r>
      <w:r w:rsidR="00486D12">
        <w:rPr>
          <w:rFonts w:asciiTheme="majorBidi" w:hAnsiTheme="majorBidi" w:cstheme="majorBidi"/>
          <w:sz w:val="24"/>
          <w:szCs w:val="24"/>
        </w:rPr>
        <w:t>ry LDVs sales</w:t>
      </w:r>
      <w:r>
        <w:rPr>
          <w:rFonts w:asciiTheme="majorBidi" w:hAnsiTheme="majorBidi" w:cstheme="majorBidi"/>
          <w:sz w:val="24"/>
          <w:szCs w:val="24"/>
        </w:rPr>
        <w:t xml:space="preserve"> continued to rise in 2013 and the first </w:t>
      </w:r>
      <w:r w:rsidR="002C1036">
        <w:rPr>
          <w:rFonts w:asciiTheme="majorBidi" w:hAnsiTheme="majorBidi" w:cstheme="majorBidi"/>
          <w:sz w:val="24"/>
          <w:szCs w:val="24"/>
        </w:rPr>
        <w:t xml:space="preserve">quarter of 2014 showing that the employed tools </w:t>
      </w:r>
      <w:r w:rsidR="00E132F1">
        <w:rPr>
          <w:rFonts w:asciiTheme="majorBidi" w:hAnsiTheme="majorBidi" w:cstheme="majorBidi"/>
          <w:sz w:val="24"/>
          <w:szCs w:val="24"/>
        </w:rPr>
        <w:t xml:space="preserve">of </w:t>
      </w:r>
      <w:r w:rsidR="002C1036">
        <w:rPr>
          <w:rFonts w:asciiTheme="majorBidi" w:hAnsiTheme="majorBidi" w:cstheme="majorBidi"/>
          <w:sz w:val="24"/>
          <w:szCs w:val="24"/>
        </w:rPr>
        <w:t xml:space="preserve">vehicles taxation and fuel pricing do not </w:t>
      </w:r>
      <w:r w:rsidR="006D2EA2">
        <w:rPr>
          <w:rFonts w:asciiTheme="majorBidi" w:hAnsiTheme="majorBidi" w:cstheme="majorBidi"/>
          <w:sz w:val="24"/>
          <w:szCs w:val="24"/>
        </w:rPr>
        <w:t>generate a palpable impact on the said segment.</w:t>
      </w:r>
    </w:p>
    <w:p w14:paraId="04B5C642" w14:textId="77777777" w:rsidR="00E132F1" w:rsidRPr="00E132F1" w:rsidRDefault="00E132F1" w:rsidP="00F10DFD">
      <w:pPr>
        <w:pStyle w:val="Heading1"/>
      </w:pPr>
      <w:bookmarkStart w:id="23" w:name="_Toc400533333"/>
      <w:bookmarkStart w:id="24" w:name="_Toc402703206"/>
      <w:r w:rsidRPr="00E132F1">
        <w:t>Data for CO</w:t>
      </w:r>
      <w:r w:rsidRPr="00E132F1">
        <w:rPr>
          <w:vertAlign w:val="subscript"/>
        </w:rPr>
        <w:t>2</w:t>
      </w:r>
      <w:r w:rsidRPr="00E132F1">
        <w:t xml:space="preserve">   Emissions and Fuel consumption in </w:t>
      </w:r>
      <w:bookmarkEnd w:id="23"/>
      <w:r w:rsidR="00C57005">
        <w:t>Morocco</w:t>
      </w:r>
      <w:bookmarkEnd w:id="24"/>
    </w:p>
    <w:p w14:paraId="4C8387C6" w14:textId="77777777" w:rsidR="00E132F1" w:rsidRDefault="00E132F1" w:rsidP="00E75255">
      <w:pPr>
        <w:jc w:val="both"/>
        <w:rPr>
          <w:rFonts w:asciiTheme="majorBidi" w:hAnsiTheme="majorBidi" w:cstheme="majorBidi"/>
          <w:sz w:val="24"/>
          <w:szCs w:val="24"/>
        </w:rPr>
      </w:pPr>
      <w:r w:rsidRPr="00E132F1">
        <w:rPr>
          <w:rFonts w:asciiTheme="majorBidi" w:hAnsiTheme="majorBidi" w:cstheme="majorBidi"/>
          <w:sz w:val="24"/>
          <w:szCs w:val="24"/>
        </w:rPr>
        <w:t>Figure 4 shows the evolution of   LDVs CO2 emissions</w:t>
      </w:r>
      <w:r>
        <w:rPr>
          <w:rFonts w:asciiTheme="majorBidi" w:hAnsiTheme="majorBidi" w:cstheme="majorBidi"/>
          <w:sz w:val="24"/>
          <w:szCs w:val="24"/>
        </w:rPr>
        <w:t xml:space="preserve"> in Morocco for the years 2009, 2012 and 2013</w:t>
      </w:r>
      <w:r w:rsidRPr="00E132F1">
        <w:rPr>
          <w:rFonts w:asciiTheme="majorBidi" w:hAnsiTheme="majorBidi" w:cstheme="majorBidi"/>
          <w:sz w:val="24"/>
          <w:szCs w:val="24"/>
        </w:rPr>
        <w:t xml:space="preserve">. The weighted average was calculated according to the GFEI methodology. Also, unweight average CO2 emissions for LDVs   was calculated for the same years. The unweight average discounts the impact of sales figures for different models </w:t>
      </w:r>
    </w:p>
    <w:p w14:paraId="6CFCA0CD" w14:textId="7186B3F2" w:rsidR="00E36ED4" w:rsidRDefault="00CB174C" w:rsidP="00E75255">
      <w:pPr>
        <w:keepNext/>
        <w:jc w:val="center"/>
      </w:pPr>
      <w:r>
        <w:rPr>
          <w:noProof/>
        </w:rPr>
        <w:lastRenderedPageBreak/>
        <w:drawing>
          <wp:inline distT="0" distB="0" distL="0" distR="0" wp14:anchorId="0DE797B6" wp14:editId="70E1C4C5">
            <wp:extent cx="3621024" cy="2286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1024" cy="2286000"/>
                    </a:xfrm>
                    <a:prstGeom prst="rect">
                      <a:avLst/>
                    </a:prstGeom>
                    <a:noFill/>
                  </pic:spPr>
                </pic:pic>
              </a:graphicData>
            </a:graphic>
          </wp:inline>
        </w:drawing>
      </w:r>
    </w:p>
    <w:p w14:paraId="32B1CB90" w14:textId="77777777" w:rsidR="0041552B" w:rsidRPr="00E132F1" w:rsidRDefault="00E36ED4" w:rsidP="00E75255">
      <w:pPr>
        <w:pStyle w:val="Caption"/>
        <w:jc w:val="center"/>
        <w:rPr>
          <w:rFonts w:asciiTheme="majorBidi" w:hAnsiTheme="majorBidi" w:cstheme="majorBidi"/>
          <w:sz w:val="24"/>
          <w:szCs w:val="24"/>
        </w:rPr>
      </w:pPr>
      <w:bookmarkStart w:id="25" w:name="_Toc402702772"/>
      <w:r>
        <w:t xml:space="preserve">Figure </w:t>
      </w:r>
      <w:r w:rsidR="003D4928">
        <w:fldChar w:fldCharType="begin"/>
      </w:r>
      <w:r w:rsidR="003D4928">
        <w:instrText xml:space="preserve"> SEQ Figure \* ARABIC </w:instrText>
      </w:r>
      <w:r w:rsidR="003D4928">
        <w:fldChar w:fldCharType="separate"/>
      </w:r>
      <w:r w:rsidR="00A06CBD">
        <w:rPr>
          <w:noProof/>
        </w:rPr>
        <w:t>4</w:t>
      </w:r>
      <w:r w:rsidR="003D4928">
        <w:rPr>
          <w:noProof/>
        </w:rPr>
        <w:fldChar w:fldCharType="end"/>
      </w:r>
      <w:r>
        <w:t>: Different Averages for CO2 emission in Morocco</w:t>
      </w:r>
      <w:bookmarkEnd w:id="25"/>
    </w:p>
    <w:p w14:paraId="69DB2D26" w14:textId="77777777" w:rsidR="00E132F1" w:rsidRPr="00E132F1" w:rsidRDefault="00E132F1" w:rsidP="00E75255">
      <w:pPr>
        <w:jc w:val="both"/>
        <w:rPr>
          <w:rFonts w:asciiTheme="majorBidi" w:hAnsiTheme="majorBidi" w:cstheme="majorBidi"/>
          <w:b/>
          <w:bCs/>
          <w:sz w:val="24"/>
          <w:szCs w:val="24"/>
        </w:rPr>
      </w:pPr>
    </w:p>
    <w:p w14:paraId="186002D8" w14:textId="6F02AE20" w:rsidR="00192B76" w:rsidRDefault="00780BFB" w:rsidP="00E75255">
      <w:pPr>
        <w:jc w:val="both"/>
        <w:rPr>
          <w:rFonts w:asciiTheme="majorBidi" w:hAnsiTheme="majorBidi" w:cstheme="majorBidi"/>
          <w:sz w:val="24"/>
          <w:szCs w:val="24"/>
        </w:rPr>
      </w:pPr>
      <w:r w:rsidRPr="00780BFB">
        <w:rPr>
          <w:rFonts w:asciiTheme="majorBidi" w:hAnsiTheme="majorBidi" w:cstheme="majorBidi"/>
          <w:sz w:val="24"/>
          <w:szCs w:val="24"/>
        </w:rPr>
        <w:t>Petrol LDVs weighted average</w:t>
      </w:r>
      <w:r>
        <w:rPr>
          <w:rFonts w:asciiTheme="majorBidi" w:hAnsiTheme="majorBidi" w:cstheme="majorBidi"/>
          <w:sz w:val="24"/>
          <w:szCs w:val="24"/>
        </w:rPr>
        <w:t xml:space="preserve"> </w:t>
      </w:r>
      <w:r w:rsidR="00912B3A">
        <w:rPr>
          <w:rFonts w:asciiTheme="majorBidi" w:hAnsiTheme="majorBidi" w:cstheme="majorBidi"/>
          <w:sz w:val="24"/>
          <w:szCs w:val="24"/>
        </w:rPr>
        <w:t xml:space="preserve">for </w:t>
      </w:r>
      <w:r w:rsidR="00D0130E">
        <w:rPr>
          <w:rFonts w:asciiTheme="majorBidi" w:hAnsiTheme="majorBidi" w:cstheme="majorBidi"/>
          <w:sz w:val="24"/>
          <w:szCs w:val="24"/>
        </w:rPr>
        <w:t>co</w:t>
      </w:r>
      <w:r>
        <w:rPr>
          <w:rFonts w:asciiTheme="majorBidi" w:hAnsiTheme="majorBidi" w:cstheme="majorBidi"/>
          <w:sz w:val="24"/>
          <w:szCs w:val="24"/>
          <w:vertAlign w:val="subscript"/>
        </w:rPr>
        <w:t>2</w:t>
      </w:r>
      <w:r w:rsidR="00D0130E">
        <w:rPr>
          <w:rFonts w:asciiTheme="majorBidi" w:hAnsiTheme="majorBidi" w:cstheme="majorBidi"/>
          <w:sz w:val="24"/>
          <w:szCs w:val="24"/>
        </w:rPr>
        <w:t xml:space="preserve"> emissions was </w:t>
      </w:r>
      <w:r w:rsidRPr="00780BFB">
        <w:rPr>
          <w:rFonts w:asciiTheme="majorBidi" w:hAnsiTheme="majorBidi" w:cstheme="majorBidi"/>
          <w:sz w:val="24"/>
          <w:szCs w:val="24"/>
        </w:rPr>
        <w:t>134.2706</w:t>
      </w:r>
      <w:r w:rsidR="00807CEA">
        <w:rPr>
          <w:rFonts w:asciiTheme="majorBidi" w:hAnsiTheme="majorBidi" w:cstheme="majorBidi"/>
          <w:sz w:val="24"/>
          <w:szCs w:val="24"/>
        </w:rPr>
        <w:t xml:space="preserve"> </w:t>
      </w:r>
      <w:r w:rsidR="00D0130E">
        <w:rPr>
          <w:rFonts w:asciiTheme="majorBidi" w:hAnsiTheme="majorBidi" w:cstheme="majorBidi"/>
          <w:sz w:val="24"/>
          <w:szCs w:val="24"/>
        </w:rPr>
        <w:t>gco</w:t>
      </w:r>
      <w:r w:rsidR="00D0130E">
        <w:rPr>
          <w:rFonts w:asciiTheme="majorBidi" w:hAnsiTheme="majorBidi" w:cstheme="majorBidi"/>
          <w:sz w:val="24"/>
          <w:szCs w:val="24"/>
          <w:vertAlign w:val="subscript"/>
        </w:rPr>
        <w:t>2</w:t>
      </w:r>
      <w:r w:rsidR="009E3B6D">
        <w:rPr>
          <w:rFonts w:asciiTheme="majorBidi" w:hAnsiTheme="majorBidi" w:cstheme="majorBidi"/>
          <w:sz w:val="24"/>
          <w:szCs w:val="24"/>
        </w:rPr>
        <w:t>/</w:t>
      </w:r>
      <w:r w:rsidR="00D0130E">
        <w:rPr>
          <w:rFonts w:asciiTheme="majorBidi" w:hAnsiTheme="majorBidi" w:cstheme="majorBidi"/>
          <w:sz w:val="24"/>
          <w:szCs w:val="24"/>
        </w:rPr>
        <w:t xml:space="preserve"> </w:t>
      </w:r>
      <w:r w:rsidR="009E3B6D">
        <w:rPr>
          <w:rFonts w:asciiTheme="majorBidi" w:hAnsiTheme="majorBidi" w:cstheme="majorBidi"/>
          <w:sz w:val="24"/>
          <w:szCs w:val="24"/>
        </w:rPr>
        <w:t>km</w:t>
      </w:r>
      <w:r>
        <w:rPr>
          <w:rFonts w:asciiTheme="majorBidi" w:hAnsiTheme="majorBidi" w:cstheme="majorBidi"/>
          <w:sz w:val="24"/>
          <w:szCs w:val="24"/>
        </w:rPr>
        <w:t xml:space="preserve"> in 2009. In 2012 it</w:t>
      </w:r>
      <w:r w:rsidR="00912B3A">
        <w:rPr>
          <w:rFonts w:asciiTheme="majorBidi" w:hAnsiTheme="majorBidi" w:cstheme="majorBidi"/>
          <w:sz w:val="24"/>
          <w:szCs w:val="24"/>
        </w:rPr>
        <w:t xml:space="preserve"> remained almost the same at 134.2</w:t>
      </w:r>
      <w:r w:rsidR="00807CEA">
        <w:rPr>
          <w:rFonts w:asciiTheme="majorBidi" w:hAnsiTheme="majorBidi" w:cstheme="majorBidi"/>
          <w:sz w:val="24"/>
          <w:szCs w:val="24"/>
        </w:rPr>
        <w:t xml:space="preserve"> </w:t>
      </w:r>
      <w:r w:rsidR="009E3B6D">
        <w:rPr>
          <w:rFonts w:asciiTheme="majorBidi" w:hAnsiTheme="majorBidi" w:cstheme="majorBidi"/>
          <w:sz w:val="24"/>
          <w:szCs w:val="24"/>
        </w:rPr>
        <w:t>gco2/km</w:t>
      </w:r>
      <w:r w:rsidR="00912B3A">
        <w:rPr>
          <w:rFonts w:asciiTheme="majorBidi" w:hAnsiTheme="majorBidi" w:cstheme="majorBidi"/>
          <w:sz w:val="24"/>
          <w:szCs w:val="24"/>
        </w:rPr>
        <w:t xml:space="preserve"> followed by a decrease to 130.2</w:t>
      </w:r>
      <w:r w:rsidR="009E3B6D">
        <w:rPr>
          <w:rFonts w:asciiTheme="majorBidi" w:hAnsiTheme="majorBidi" w:cstheme="majorBidi"/>
          <w:sz w:val="24"/>
          <w:szCs w:val="24"/>
        </w:rPr>
        <w:t>gco2/km</w:t>
      </w:r>
      <w:r w:rsidR="00912B3A">
        <w:rPr>
          <w:rFonts w:asciiTheme="majorBidi" w:hAnsiTheme="majorBidi" w:cstheme="majorBidi"/>
          <w:sz w:val="24"/>
          <w:szCs w:val="24"/>
        </w:rPr>
        <w:t xml:space="preserve"> in the next year</w:t>
      </w:r>
      <w:r w:rsidR="00807CEA">
        <w:rPr>
          <w:rFonts w:asciiTheme="majorBidi" w:hAnsiTheme="majorBidi" w:cstheme="majorBidi"/>
          <w:sz w:val="24"/>
          <w:szCs w:val="24"/>
        </w:rPr>
        <w:t xml:space="preserve">. </w:t>
      </w:r>
      <w:r w:rsidR="00BD18AA">
        <w:rPr>
          <w:rFonts w:asciiTheme="majorBidi" w:hAnsiTheme="majorBidi" w:cstheme="majorBidi"/>
          <w:sz w:val="24"/>
          <w:szCs w:val="24"/>
        </w:rPr>
        <w:t xml:space="preserve"> When it came to average CO</w:t>
      </w:r>
      <w:r w:rsidR="00BD18AA">
        <w:rPr>
          <w:rFonts w:asciiTheme="majorBidi" w:hAnsiTheme="majorBidi" w:cstheme="majorBidi"/>
          <w:sz w:val="24"/>
          <w:szCs w:val="24"/>
          <w:vertAlign w:val="subscript"/>
        </w:rPr>
        <w:t>2</w:t>
      </w:r>
      <w:r w:rsidR="00D0130E">
        <w:rPr>
          <w:rFonts w:asciiTheme="majorBidi" w:hAnsiTheme="majorBidi" w:cstheme="majorBidi"/>
          <w:sz w:val="24"/>
          <w:szCs w:val="24"/>
        </w:rPr>
        <w:t xml:space="preserve"> emissions they were </w:t>
      </w:r>
      <w:r w:rsidR="00BD18AA" w:rsidRPr="00BD18AA">
        <w:rPr>
          <w:rFonts w:asciiTheme="majorBidi" w:hAnsiTheme="majorBidi" w:cstheme="majorBidi"/>
          <w:sz w:val="24"/>
          <w:szCs w:val="24"/>
        </w:rPr>
        <w:t>143.6</w:t>
      </w:r>
      <w:r w:rsidR="00BD18AA">
        <w:rPr>
          <w:rFonts w:asciiTheme="majorBidi" w:hAnsiTheme="majorBidi" w:cstheme="majorBidi"/>
          <w:sz w:val="24"/>
          <w:szCs w:val="24"/>
        </w:rPr>
        <w:t xml:space="preserve"> </w:t>
      </w:r>
      <w:r w:rsidR="009E3B6D">
        <w:rPr>
          <w:rFonts w:asciiTheme="majorBidi" w:hAnsiTheme="majorBidi" w:cstheme="majorBidi"/>
          <w:sz w:val="24"/>
          <w:szCs w:val="24"/>
        </w:rPr>
        <w:t>gco2/</w:t>
      </w:r>
      <w:r w:rsidR="00D0130E">
        <w:rPr>
          <w:rFonts w:asciiTheme="majorBidi" w:hAnsiTheme="majorBidi" w:cstheme="majorBidi"/>
          <w:sz w:val="24"/>
          <w:szCs w:val="24"/>
        </w:rPr>
        <w:t xml:space="preserve"> </w:t>
      </w:r>
      <w:r w:rsidR="009E3B6D">
        <w:rPr>
          <w:rFonts w:asciiTheme="majorBidi" w:hAnsiTheme="majorBidi" w:cstheme="majorBidi"/>
          <w:sz w:val="24"/>
          <w:szCs w:val="24"/>
        </w:rPr>
        <w:t>km</w:t>
      </w:r>
      <w:r w:rsidR="00BD18AA">
        <w:rPr>
          <w:rFonts w:asciiTheme="majorBidi" w:hAnsiTheme="majorBidi" w:cstheme="majorBidi"/>
          <w:sz w:val="24"/>
          <w:szCs w:val="24"/>
        </w:rPr>
        <w:t xml:space="preserve"> in 2009, considerably higher than weighted average for the same year. In 2012</w:t>
      </w:r>
      <w:r w:rsidR="00912B3A">
        <w:rPr>
          <w:rFonts w:asciiTheme="majorBidi" w:hAnsiTheme="majorBidi" w:cstheme="majorBidi"/>
          <w:sz w:val="24"/>
          <w:szCs w:val="24"/>
        </w:rPr>
        <w:t xml:space="preserve">, they dropped to 134.3 </w:t>
      </w:r>
      <w:r w:rsidR="00D0130E">
        <w:rPr>
          <w:rFonts w:asciiTheme="majorBidi" w:hAnsiTheme="majorBidi" w:cstheme="majorBidi"/>
          <w:sz w:val="24"/>
          <w:szCs w:val="24"/>
        </w:rPr>
        <w:t>gco</w:t>
      </w:r>
      <w:r w:rsidR="00D0130E">
        <w:rPr>
          <w:rFonts w:asciiTheme="majorBidi" w:hAnsiTheme="majorBidi" w:cstheme="majorBidi"/>
          <w:sz w:val="24"/>
          <w:szCs w:val="24"/>
          <w:vertAlign w:val="subscript"/>
        </w:rPr>
        <w:t>2</w:t>
      </w:r>
      <w:r w:rsidR="009E3B6D">
        <w:rPr>
          <w:rFonts w:asciiTheme="majorBidi" w:hAnsiTheme="majorBidi" w:cstheme="majorBidi"/>
          <w:sz w:val="24"/>
          <w:szCs w:val="24"/>
        </w:rPr>
        <w:t>/</w:t>
      </w:r>
      <w:r w:rsidR="00D0130E">
        <w:rPr>
          <w:rFonts w:asciiTheme="majorBidi" w:hAnsiTheme="majorBidi" w:cstheme="majorBidi"/>
          <w:sz w:val="24"/>
          <w:szCs w:val="24"/>
        </w:rPr>
        <w:t xml:space="preserve"> </w:t>
      </w:r>
      <w:r w:rsidR="009E3B6D">
        <w:rPr>
          <w:rFonts w:asciiTheme="majorBidi" w:hAnsiTheme="majorBidi" w:cstheme="majorBidi"/>
          <w:sz w:val="24"/>
          <w:szCs w:val="24"/>
        </w:rPr>
        <w:t>km</w:t>
      </w:r>
      <w:r w:rsidR="00912B3A">
        <w:rPr>
          <w:rFonts w:asciiTheme="majorBidi" w:hAnsiTheme="majorBidi" w:cstheme="majorBidi"/>
          <w:sz w:val="24"/>
          <w:szCs w:val="24"/>
        </w:rPr>
        <w:t xml:space="preserve"> equal to</w:t>
      </w:r>
      <w:r w:rsidR="00BD18AA">
        <w:rPr>
          <w:rFonts w:asciiTheme="majorBidi" w:hAnsiTheme="majorBidi" w:cstheme="majorBidi"/>
          <w:sz w:val="24"/>
          <w:szCs w:val="24"/>
        </w:rPr>
        <w:t xml:space="preserve"> the weighted average for </w:t>
      </w:r>
      <w:r w:rsidR="00763C06">
        <w:rPr>
          <w:rFonts w:asciiTheme="majorBidi" w:hAnsiTheme="majorBidi" w:cstheme="majorBidi"/>
          <w:sz w:val="24"/>
          <w:szCs w:val="24"/>
        </w:rPr>
        <w:t xml:space="preserve">the </w:t>
      </w:r>
      <w:r w:rsidR="00597577">
        <w:rPr>
          <w:rFonts w:asciiTheme="majorBidi" w:hAnsiTheme="majorBidi" w:cstheme="majorBidi"/>
          <w:sz w:val="24"/>
          <w:szCs w:val="24"/>
        </w:rPr>
        <w:t xml:space="preserve">same year then dropping </w:t>
      </w:r>
      <w:r w:rsidR="00763C06">
        <w:rPr>
          <w:rFonts w:asciiTheme="majorBidi" w:hAnsiTheme="majorBidi" w:cstheme="majorBidi"/>
          <w:sz w:val="24"/>
          <w:szCs w:val="24"/>
        </w:rPr>
        <w:t>further in 20</w:t>
      </w:r>
      <w:r w:rsidR="00D0130E">
        <w:rPr>
          <w:rFonts w:asciiTheme="majorBidi" w:hAnsiTheme="majorBidi" w:cstheme="majorBidi"/>
          <w:sz w:val="24"/>
          <w:szCs w:val="24"/>
        </w:rPr>
        <w:t>13 to</w:t>
      </w:r>
      <w:r w:rsidR="00597577">
        <w:rPr>
          <w:rFonts w:asciiTheme="majorBidi" w:hAnsiTheme="majorBidi" w:cstheme="majorBidi"/>
          <w:sz w:val="24"/>
          <w:szCs w:val="24"/>
        </w:rPr>
        <w:t>133.8</w:t>
      </w:r>
      <w:r w:rsidR="00192B76">
        <w:rPr>
          <w:rFonts w:asciiTheme="majorBidi" w:hAnsiTheme="majorBidi" w:cstheme="majorBidi"/>
          <w:sz w:val="24"/>
          <w:szCs w:val="24"/>
        </w:rPr>
        <w:t xml:space="preserve"> </w:t>
      </w:r>
      <w:r w:rsidR="00D0130E">
        <w:rPr>
          <w:rFonts w:asciiTheme="majorBidi" w:hAnsiTheme="majorBidi" w:cstheme="majorBidi"/>
          <w:sz w:val="24"/>
          <w:szCs w:val="24"/>
        </w:rPr>
        <w:t>gco</w:t>
      </w:r>
      <w:r w:rsidR="00D0130E">
        <w:rPr>
          <w:rFonts w:asciiTheme="majorBidi" w:hAnsiTheme="majorBidi" w:cstheme="majorBidi"/>
          <w:sz w:val="24"/>
          <w:szCs w:val="24"/>
          <w:vertAlign w:val="subscript"/>
        </w:rPr>
        <w:t>2</w:t>
      </w:r>
      <w:r w:rsidR="009E3B6D">
        <w:rPr>
          <w:rFonts w:asciiTheme="majorBidi" w:hAnsiTheme="majorBidi" w:cstheme="majorBidi"/>
          <w:sz w:val="24"/>
          <w:szCs w:val="24"/>
        </w:rPr>
        <w:t>/km</w:t>
      </w:r>
      <w:r w:rsidR="00192B76">
        <w:rPr>
          <w:rFonts w:asciiTheme="majorBidi" w:hAnsiTheme="majorBidi" w:cstheme="majorBidi"/>
          <w:sz w:val="24"/>
          <w:szCs w:val="24"/>
        </w:rPr>
        <w:t xml:space="preserve">, yet they were more or less equal to </w:t>
      </w:r>
      <w:r w:rsidR="00763C06">
        <w:rPr>
          <w:rFonts w:asciiTheme="majorBidi" w:hAnsiTheme="majorBidi" w:cstheme="majorBidi"/>
          <w:sz w:val="24"/>
          <w:szCs w:val="24"/>
        </w:rPr>
        <w:t>the corresponding weighted average.</w:t>
      </w:r>
    </w:p>
    <w:p w14:paraId="3659CB7F" w14:textId="6DF30147" w:rsidR="006D289C" w:rsidRDefault="00763C06" w:rsidP="00E75255">
      <w:pPr>
        <w:jc w:val="both"/>
        <w:rPr>
          <w:rFonts w:asciiTheme="majorBidi" w:hAnsiTheme="majorBidi" w:cstheme="majorBidi"/>
          <w:sz w:val="24"/>
          <w:szCs w:val="24"/>
        </w:rPr>
      </w:pPr>
      <w:r>
        <w:rPr>
          <w:rFonts w:asciiTheme="majorBidi" w:hAnsiTheme="majorBidi" w:cstheme="majorBidi"/>
          <w:sz w:val="24"/>
          <w:szCs w:val="24"/>
        </w:rPr>
        <w:t xml:space="preserve"> </w:t>
      </w:r>
      <w:r w:rsidR="00192B76" w:rsidRPr="00192B76">
        <w:rPr>
          <w:rFonts w:asciiTheme="majorBidi" w:hAnsiTheme="majorBidi" w:cstheme="majorBidi"/>
          <w:sz w:val="24"/>
          <w:szCs w:val="24"/>
        </w:rPr>
        <w:t>Combined weighted average for</w:t>
      </w:r>
      <w:r w:rsidR="00192B76">
        <w:rPr>
          <w:rFonts w:asciiTheme="majorBidi" w:hAnsiTheme="majorBidi" w:cstheme="majorBidi"/>
          <w:sz w:val="24"/>
          <w:szCs w:val="24"/>
        </w:rPr>
        <w:t xml:space="preserve"> petrol &amp; diesel LDVs had </w:t>
      </w:r>
      <w:r w:rsidR="00192B76" w:rsidRPr="00192B76">
        <w:rPr>
          <w:rFonts w:asciiTheme="majorBidi" w:hAnsiTheme="majorBidi" w:cstheme="majorBidi"/>
          <w:sz w:val="24"/>
          <w:szCs w:val="24"/>
        </w:rPr>
        <w:t>been</w:t>
      </w:r>
      <w:r w:rsidR="008A744F">
        <w:rPr>
          <w:rFonts w:asciiTheme="majorBidi" w:hAnsiTheme="majorBidi" w:cstheme="majorBidi"/>
          <w:sz w:val="24"/>
          <w:szCs w:val="24"/>
        </w:rPr>
        <w:t xml:space="preserve"> significantly </w:t>
      </w:r>
      <w:r w:rsidR="00192B76">
        <w:rPr>
          <w:rFonts w:asciiTheme="majorBidi" w:hAnsiTheme="majorBidi" w:cstheme="majorBidi"/>
          <w:sz w:val="24"/>
          <w:szCs w:val="24"/>
        </w:rPr>
        <w:t xml:space="preserve">lower than petrol’s for the years 2012 and 2013, respectively. </w:t>
      </w:r>
      <w:r w:rsidR="008A744F">
        <w:rPr>
          <w:rFonts w:asciiTheme="majorBidi" w:hAnsiTheme="majorBidi" w:cstheme="majorBidi"/>
          <w:sz w:val="24"/>
          <w:szCs w:val="24"/>
        </w:rPr>
        <w:t xml:space="preserve">However, </w:t>
      </w:r>
      <w:r w:rsidR="00386918">
        <w:rPr>
          <w:rFonts w:asciiTheme="majorBidi" w:hAnsiTheme="majorBidi" w:cstheme="majorBidi"/>
          <w:sz w:val="24"/>
          <w:szCs w:val="24"/>
        </w:rPr>
        <w:t xml:space="preserve">in 2009 they had been </w:t>
      </w:r>
      <w:r w:rsidR="008A744F">
        <w:rPr>
          <w:rFonts w:asciiTheme="majorBidi" w:hAnsiTheme="majorBidi" w:cstheme="majorBidi"/>
          <w:sz w:val="24"/>
          <w:szCs w:val="24"/>
        </w:rPr>
        <w:t>all but equal</w:t>
      </w:r>
      <w:r w:rsidR="00DE7EEE">
        <w:rPr>
          <w:rFonts w:asciiTheme="majorBidi" w:hAnsiTheme="majorBidi" w:cstheme="majorBidi"/>
          <w:sz w:val="24"/>
          <w:szCs w:val="24"/>
        </w:rPr>
        <w:t xml:space="preserve"> to the weighted </w:t>
      </w:r>
      <w:r w:rsidR="006D289C">
        <w:rPr>
          <w:rFonts w:asciiTheme="majorBidi" w:hAnsiTheme="majorBidi" w:cstheme="majorBidi"/>
          <w:sz w:val="24"/>
          <w:szCs w:val="24"/>
        </w:rPr>
        <w:t>average</w:t>
      </w:r>
      <w:r w:rsidR="00DE7EEE">
        <w:rPr>
          <w:rFonts w:asciiTheme="majorBidi" w:hAnsiTheme="majorBidi" w:cstheme="majorBidi"/>
          <w:sz w:val="24"/>
          <w:szCs w:val="24"/>
        </w:rPr>
        <w:t xml:space="preserve"> of petrol</w:t>
      </w:r>
      <w:r w:rsidR="006D289C">
        <w:rPr>
          <w:rFonts w:asciiTheme="majorBidi" w:hAnsiTheme="majorBidi" w:cstheme="majorBidi"/>
          <w:sz w:val="24"/>
          <w:szCs w:val="24"/>
        </w:rPr>
        <w:t xml:space="preserve"> at </w:t>
      </w:r>
      <w:r w:rsidR="006D289C" w:rsidRPr="006D289C">
        <w:rPr>
          <w:rFonts w:asciiTheme="majorBidi" w:hAnsiTheme="majorBidi" w:cstheme="majorBidi"/>
          <w:sz w:val="24"/>
          <w:szCs w:val="24"/>
        </w:rPr>
        <w:t>135.4</w:t>
      </w:r>
      <w:r w:rsidR="0040263F">
        <w:rPr>
          <w:rFonts w:asciiTheme="majorBidi" w:hAnsiTheme="majorBidi" w:cstheme="majorBidi"/>
          <w:sz w:val="24"/>
          <w:szCs w:val="24"/>
        </w:rPr>
        <w:t xml:space="preserve"> </w:t>
      </w:r>
      <w:r w:rsidR="00D0130E">
        <w:rPr>
          <w:rFonts w:asciiTheme="majorBidi" w:hAnsiTheme="majorBidi" w:cstheme="majorBidi"/>
          <w:sz w:val="24"/>
          <w:szCs w:val="24"/>
        </w:rPr>
        <w:t>gco</w:t>
      </w:r>
      <w:r w:rsidR="00D0130E">
        <w:rPr>
          <w:rFonts w:asciiTheme="majorBidi" w:hAnsiTheme="majorBidi" w:cstheme="majorBidi"/>
          <w:sz w:val="24"/>
          <w:szCs w:val="24"/>
          <w:vertAlign w:val="subscript"/>
        </w:rPr>
        <w:t>2</w:t>
      </w:r>
      <w:r w:rsidR="009E3B6D">
        <w:rPr>
          <w:rFonts w:asciiTheme="majorBidi" w:hAnsiTheme="majorBidi" w:cstheme="majorBidi"/>
          <w:sz w:val="24"/>
          <w:szCs w:val="24"/>
        </w:rPr>
        <w:t>/</w:t>
      </w:r>
      <w:r w:rsidR="00D0130E">
        <w:rPr>
          <w:rFonts w:asciiTheme="majorBidi" w:hAnsiTheme="majorBidi" w:cstheme="majorBidi"/>
          <w:sz w:val="24"/>
          <w:szCs w:val="24"/>
        </w:rPr>
        <w:t xml:space="preserve"> </w:t>
      </w:r>
      <w:r w:rsidR="009E3B6D">
        <w:rPr>
          <w:rFonts w:asciiTheme="majorBidi" w:hAnsiTheme="majorBidi" w:cstheme="majorBidi"/>
          <w:sz w:val="24"/>
          <w:szCs w:val="24"/>
        </w:rPr>
        <w:t>km</w:t>
      </w:r>
      <w:r w:rsidR="00E57AA5">
        <w:rPr>
          <w:rFonts w:asciiTheme="majorBidi" w:hAnsiTheme="majorBidi" w:cstheme="majorBidi"/>
          <w:sz w:val="24"/>
          <w:szCs w:val="24"/>
        </w:rPr>
        <w:t xml:space="preserve">. They had been consistently following the pattern </w:t>
      </w:r>
      <w:r w:rsidR="00F4428A">
        <w:rPr>
          <w:rFonts w:asciiTheme="majorBidi" w:hAnsiTheme="majorBidi" w:cstheme="majorBidi"/>
          <w:sz w:val="24"/>
          <w:szCs w:val="24"/>
        </w:rPr>
        <w:t>of diesel LDVs</w:t>
      </w:r>
      <w:r w:rsidR="00E57AA5">
        <w:rPr>
          <w:rFonts w:asciiTheme="majorBidi" w:hAnsiTheme="majorBidi" w:cstheme="majorBidi"/>
          <w:sz w:val="24"/>
          <w:szCs w:val="24"/>
        </w:rPr>
        <w:t xml:space="preserve"> </w:t>
      </w:r>
      <w:r w:rsidR="0040263F">
        <w:rPr>
          <w:rFonts w:asciiTheme="majorBidi" w:hAnsiTheme="majorBidi" w:cstheme="majorBidi"/>
          <w:sz w:val="24"/>
          <w:szCs w:val="24"/>
        </w:rPr>
        <w:t>as shown in Figure 5.</w:t>
      </w:r>
      <w:r w:rsidR="00F4428A">
        <w:rPr>
          <w:rFonts w:asciiTheme="majorBidi" w:hAnsiTheme="majorBidi" w:cstheme="majorBidi"/>
          <w:sz w:val="24"/>
          <w:szCs w:val="24"/>
        </w:rPr>
        <w:t xml:space="preserve"> </w:t>
      </w:r>
    </w:p>
    <w:p w14:paraId="2DE0955D" w14:textId="78131D07" w:rsidR="00E36ED4" w:rsidRDefault="00BD55F2" w:rsidP="00E75255">
      <w:pPr>
        <w:keepNext/>
        <w:jc w:val="center"/>
      </w:pPr>
      <w:r>
        <w:rPr>
          <w:noProof/>
        </w:rPr>
        <w:drawing>
          <wp:inline distT="0" distB="0" distL="0" distR="0" wp14:anchorId="00EF2B5D" wp14:editId="00C000A7">
            <wp:extent cx="3575304" cy="2295144"/>
            <wp:effectExtent l="0" t="0" r="635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75304" cy="2295144"/>
                    </a:xfrm>
                    <a:prstGeom prst="rect">
                      <a:avLst/>
                    </a:prstGeom>
                    <a:noFill/>
                  </pic:spPr>
                </pic:pic>
              </a:graphicData>
            </a:graphic>
          </wp:inline>
        </w:drawing>
      </w:r>
    </w:p>
    <w:p w14:paraId="1BCEDC8A" w14:textId="77777777" w:rsidR="00F4428A" w:rsidRDefault="00E36ED4" w:rsidP="00E75255">
      <w:pPr>
        <w:pStyle w:val="Caption"/>
        <w:jc w:val="center"/>
        <w:rPr>
          <w:rFonts w:asciiTheme="majorBidi" w:hAnsiTheme="majorBidi" w:cstheme="majorBidi"/>
          <w:sz w:val="24"/>
          <w:szCs w:val="24"/>
        </w:rPr>
      </w:pPr>
      <w:bookmarkStart w:id="26" w:name="_Toc402702773"/>
      <w:r>
        <w:t xml:space="preserve">Figure </w:t>
      </w:r>
      <w:r w:rsidR="003D4928">
        <w:fldChar w:fldCharType="begin"/>
      </w:r>
      <w:r w:rsidR="003D4928">
        <w:instrText xml:space="preserve"> SEQ Figure \* ARABIC </w:instrText>
      </w:r>
      <w:r w:rsidR="003D4928">
        <w:fldChar w:fldCharType="separate"/>
      </w:r>
      <w:r w:rsidR="00A06CBD">
        <w:rPr>
          <w:noProof/>
        </w:rPr>
        <w:t>5</w:t>
      </w:r>
      <w:r w:rsidR="003D4928">
        <w:rPr>
          <w:noProof/>
        </w:rPr>
        <w:fldChar w:fldCharType="end"/>
      </w:r>
      <w:r>
        <w:t>: Different Averages for diesel CO2 emissions in Morocco</w:t>
      </w:r>
      <w:bookmarkEnd w:id="26"/>
    </w:p>
    <w:p w14:paraId="69EF661C" w14:textId="77777777" w:rsidR="0040263F" w:rsidRPr="006D289C" w:rsidRDefault="0040263F" w:rsidP="00E75255">
      <w:pPr>
        <w:jc w:val="both"/>
        <w:rPr>
          <w:rFonts w:asciiTheme="majorBidi" w:hAnsiTheme="majorBidi" w:cstheme="majorBidi"/>
          <w:sz w:val="24"/>
          <w:szCs w:val="24"/>
        </w:rPr>
      </w:pPr>
    </w:p>
    <w:p w14:paraId="202D210E" w14:textId="5A964DDB" w:rsidR="00192B76" w:rsidRDefault="00B80FC7" w:rsidP="00E75255">
      <w:pPr>
        <w:jc w:val="both"/>
        <w:rPr>
          <w:rFonts w:asciiTheme="majorBidi" w:hAnsiTheme="majorBidi" w:cstheme="majorBidi"/>
          <w:sz w:val="24"/>
          <w:szCs w:val="24"/>
        </w:rPr>
      </w:pPr>
      <w:r>
        <w:rPr>
          <w:rFonts w:asciiTheme="majorBidi" w:hAnsiTheme="majorBidi" w:cstheme="majorBidi"/>
          <w:sz w:val="24"/>
          <w:szCs w:val="24"/>
        </w:rPr>
        <w:lastRenderedPageBreak/>
        <w:t>In 2009, weighted average co</w:t>
      </w:r>
      <w:r>
        <w:rPr>
          <w:rFonts w:asciiTheme="majorBidi" w:hAnsiTheme="majorBidi" w:cstheme="majorBidi"/>
          <w:sz w:val="24"/>
          <w:szCs w:val="24"/>
          <w:vertAlign w:val="subscript"/>
        </w:rPr>
        <w:t>2</w:t>
      </w:r>
      <w:r>
        <w:rPr>
          <w:rFonts w:asciiTheme="majorBidi" w:hAnsiTheme="majorBidi" w:cstheme="majorBidi"/>
          <w:sz w:val="24"/>
          <w:szCs w:val="24"/>
        </w:rPr>
        <w:t xml:space="preserve"> emissions for </w:t>
      </w:r>
      <w:r w:rsidR="00F20D59">
        <w:rPr>
          <w:rFonts w:asciiTheme="majorBidi" w:hAnsiTheme="majorBidi" w:cstheme="majorBidi"/>
          <w:sz w:val="24"/>
          <w:szCs w:val="24"/>
        </w:rPr>
        <w:t xml:space="preserve">new </w:t>
      </w:r>
      <w:r>
        <w:rPr>
          <w:rFonts w:asciiTheme="majorBidi" w:hAnsiTheme="majorBidi" w:cstheme="majorBidi"/>
          <w:sz w:val="24"/>
          <w:szCs w:val="24"/>
        </w:rPr>
        <w:t xml:space="preserve">diesel LDVs were at </w:t>
      </w:r>
      <w:r w:rsidR="00E80038" w:rsidRPr="00E80038">
        <w:rPr>
          <w:rFonts w:asciiTheme="majorBidi" w:hAnsiTheme="majorBidi" w:cstheme="majorBidi"/>
          <w:sz w:val="24"/>
          <w:szCs w:val="24"/>
        </w:rPr>
        <w:t>133.5974</w:t>
      </w:r>
      <w:r w:rsidR="00E80038">
        <w:rPr>
          <w:rFonts w:asciiTheme="majorBidi" w:hAnsiTheme="majorBidi" w:cstheme="majorBidi"/>
          <w:sz w:val="24"/>
          <w:szCs w:val="24"/>
        </w:rPr>
        <w:t xml:space="preserve"> </w:t>
      </w:r>
      <w:r w:rsidR="00556E77">
        <w:rPr>
          <w:rFonts w:asciiTheme="majorBidi" w:hAnsiTheme="majorBidi" w:cstheme="majorBidi"/>
          <w:sz w:val="24"/>
          <w:szCs w:val="24"/>
        </w:rPr>
        <w:t>gco</w:t>
      </w:r>
      <w:r w:rsidR="00556E77">
        <w:rPr>
          <w:rFonts w:asciiTheme="majorBidi" w:hAnsiTheme="majorBidi" w:cstheme="majorBidi"/>
          <w:sz w:val="24"/>
          <w:szCs w:val="24"/>
          <w:vertAlign w:val="subscript"/>
        </w:rPr>
        <w:t>2</w:t>
      </w:r>
      <w:r w:rsidR="009E3B6D">
        <w:rPr>
          <w:rFonts w:asciiTheme="majorBidi" w:hAnsiTheme="majorBidi" w:cstheme="majorBidi"/>
          <w:sz w:val="24"/>
          <w:szCs w:val="24"/>
        </w:rPr>
        <w:t>/</w:t>
      </w:r>
      <w:r w:rsidR="00556E77">
        <w:rPr>
          <w:rFonts w:asciiTheme="majorBidi" w:hAnsiTheme="majorBidi" w:cstheme="majorBidi"/>
          <w:sz w:val="24"/>
          <w:szCs w:val="24"/>
        </w:rPr>
        <w:t xml:space="preserve"> </w:t>
      </w:r>
      <w:r w:rsidR="009E3B6D">
        <w:rPr>
          <w:rFonts w:asciiTheme="majorBidi" w:hAnsiTheme="majorBidi" w:cstheme="majorBidi"/>
          <w:sz w:val="24"/>
          <w:szCs w:val="24"/>
        </w:rPr>
        <w:t>km</w:t>
      </w:r>
      <w:r w:rsidR="00E80038">
        <w:rPr>
          <w:rFonts w:asciiTheme="majorBidi" w:hAnsiTheme="majorBidi" w:cstheme="majorBidi"/>
          <w:sz w:val="24"/>
          <w:szCs w:val="24"/>
        </w:rPr>
        <w:t xml:space="preserve"> slightly lower than</w:t>
      </w:r>
      <w:r>
        <w:rPr>
          <w:rFonts w:asciiTheme="majorBidi" w:hAnsiTheme="majorBidi" w:cstheme="majorBidi"/>
          <w:sz w:val="24"/>
          <w:szCs w:val="24"/>
        </w:rPr>
        <w:t xml:space="preserve"> petrol’s</w:t>
      </w:r>
      <w:r w:rsidR="00C9220D">
        <w:rPr>
          <w:rFonts w:asciiTheme="majorBidi" w:hAnsiTheme="majorBidi" w:cstheme="majorBidi"/>
          <w:sz w:val="24"/>
          <w:szCs w:val="24"/>
        </w:rPr>
        <w:t xml:space="preserve">. </w:t>
      </w:r>
      <w:r w:rsidR="00CB2A64">
        <w:rPr>
          <w:rFonts w:asciiTheme="majorBidi" w:hAnsiTheme="majorBidi" w:cstheme="majorBidi"/>
          <w:sz w:val="24"/>
          <w:szCs w:val="24"/>
        </w:rPr>
        <w:t xml:space="preserve">In 2012, </w:t>
      </w:r>
      <w:r w:rsidR="00B15B02">
        <w:rPr>
          <w:rFonts w:asciiTheme="majorBidi" w:hAnsiTheme="majorBidi" w:cstheme="majorBidi"/>
          <w:sz w:val="24"/>
          <w:szCs w:val="24"/>
        </w:rPr>
        <w:t>the figure was</w:t>
      </w:r>
      <w:r w:rsidR="00B15B02" w:rsidRPr="00B15B02">
        <w:rPr>
          <w:rFonts w:ascii="Verdana" w:hAnsi="Verdana"/>
          <w:sz w:val="20"/>
          <w:szCs w:val="20"/>
        </w:rPr>
        <w:t xml:space="preserve"> </w:t>
      </w:r>
      <w:r w:rsidR="00B15B02" w:rsidRPr="00B15B02">
        <w:rPr>
          <w:rFonts w:asciiTheme="majorBidi" w:hAnsiTheme="majorBidi" w:cstheme="majorBidi"/>
          <w:sz w:val="24"/>
          <w:szCs w:val="24"/>
        </w:rPr>
        <w:t>124.9649</w:t>
      </w:r>
      <w:r w:rsidR="00B15B02">
        <w:rPr>
          <w:rFonts w:asciiTheme="majorBidi" w:hAnsiTheme="majorBidi" w:cstheme="majorBidi"/>
          <w:sz w:val="24"/>
          <w:szCs w:val="24"/>
        </w:rPr>
        <w:t xml:space="preserve"> </w:t>
      </w:r>
      <w:r w:rsidR="009E3B6D">
        <w:rPr>
          <w:rFonts w:asciiTheme="majorBidi" w:hAnsiTheme="majorBidi" w:cstheme="majorBidi"/>
          <w:sz w:val="24"/>
          <w:szCs w:val="24"/>
        </w:rPr>
        <w:t>gco2/</w:t>
      </w:r>
      <w:r w:rsidR="00556E77">
        <w:rPr>
          <w:rFonts w:asciiTheme="majorBidi" w:hAnsiTheme="majorBidi" w:cstheme="majorBidi"/>
          <w:sz w:val="24"/>
          <w:szCs w:val="24"/>
        </w:rPr>
        <w:t xml:space="preserve"> </w:t>
      </w:r>
      <w:r w:rsidR="009E3B6D">
        <w:rPr>
          <w:rFonts w:asciiTheme="majorBidi" w:hAnsiTheme="majorBidi" w:cstheme="majorBidi"/>
          <w:sz w:val="24"/>
          <w:szCs w:val="24"/>
        </w:rPr>
        <w:t>km</w:t>
      </w:r>
      <w:r w:rsidR="00B15B02">
        <w:rPr>
          <w:rFonts w:asciiTheme="majorBidi" w:hAnsiTheme="majorBidi" w:cstheme="majorBidi"/>
          <w:sz w:val="24"/>
          <w:szCs w:val="24"/>
        </w:rPr>
        <w:t xml:space="preserve"> rising </w:t>
      </w:r>
      <w:r w:rsidR="00FE4F00">
        <w:rPr>
          <w:rFonts w:asciiTheme="majorBidi" w:hAnsiTheme="majorBidi" w:cstheme="majorBidi"/>
          <w:sz w:val="24"/>
          <w:szCs w:val="24"/>
        </w:rPr>
        <w:t>minimally</w:t>
      </w:r>
      <w:r w:rsidR="00B15B02">
        <w:rPr>
          <w:rFonts w:asciiTheme="majorBidi" w:hAnsiTheme="majorBidi" w:cstheme="majorBidi"/>
          <w:sz w:val="24"/>
          <w:szCs w:val="24"/>
        </w:rPr>
        <w:t xml:space="preserve"> to</w:t>
      </w:r>
      <w:r w:rsidR="00CB2A64" w:rsidRPr="00CB2A64">
        <w:rPr>
          <w:rFonts w:ascii="Verdana" w:hAnsi="Verdana"/>
          <w:sz w:val="20"/>
          <w:szCs w:val="20"/>
        </w:rPr>
        <w:t xml:space="preserve"> </w:t>
      </w:r>
      <w:r w:rsidR="00CB2A64" w:rsidRPr="00CB2A64">
        <w:rPr>
          <w:rFonts w:asciiTheme="majorBidi" w:hAnsiTheme="majorBidi" w:cstheme="majorBidi"/>
          <w:sz w:val="24"/>
          <w:szCs w:val="24"/>
        </w:rPr>
        <w:t>125.2054</w:t>
      </w:r>
      <w:r w:rsidR="00CB2A64">
        <w:rPr>
          <w:rFonts w:asciiTheme="majorBidi" w:hAnsiTheme="majorBidi" w:cstheme="majorBidi"/>
          <w:sz w:val="24"/>
          <w:szCs w:val="24"/>
        </w:rPr>
        <w:t xml:space="preserve"> </w:t>
      </w:r>
      <w:r w:rsidR="009E3B6D">
        <w:rPr>
          <w:rFonts w:asciiTheme="majorBidi" w:hAnsiTheme="majorBidi" w:cstheme="majorBidi"/>
          <w:sz w:val="24"/>
          <w:szCs w:val="24"/>
        </w:rPr>
        <w:t>gco2/</w:t>
      </w:r>
      <w:r w:rsidR="00556E77">
        <w:rPr>
          <w:rFonts w:asciiTheme="majorBidi" w:hAnsiTheme="majorBidi" w:cstheme="majorBidi"/>
          <w:sz w:val="24"/>
          <w:szCs w:val="24"/>
        </w:rPr>
        <w:t xml:space="preserve"> </w:t>
      </w:r>
      <w:r w:rsidR="009E3B6D">
        <w:rPr>
          <w:rFonts w:asciiTheme="majorBidi" w:hAnsiTheme="majorBidi" w:cstheme="majorBidi"/>
          <w:sz w:val="24"/>
          <w:szCs w:val="24"/>
        </w:rPr>
        <w:t>km</w:t>
      </w:r>
      <w:r w:rsidR="00CB2A64">
        <w:rPr>
          <w:rFonts w:asciiTheme="majorBidi" w:hAnsiTheme="majorBidi" w:cstheme="majorBidi"/>
          <w:sz w:val="24"/>
          <w:szCs w:val="24"/>
        </w:rPr>
        <w:t xml:space="preserve"> in</w:t>
      </w:r>
      <w:r>
        <w:rPr>
          <w:rFonts w:asciiTheme="majorBidi" w:hAnsiTheme="majorBidi" w:cstheme="majorBidi"/>
          <w:sz w:val="24"/>
          <w:szCs w:val="24"/>
        </w:rPr>
        <w:t xml:space="preserve"> 2013</w:t>
      </w:r>
      <w:r w:rsidR="00CB2A64">
        <w:rPr>
          <w:rFonts w:asciiTheme="majorBidi" w:hAnsiTheme="majorBidi" w:cstheme="majorBidi"/>
          <w:sz w:val="24"/>
          <w:szCs w:val="24"/>
        </w:rPr>
        <w:t>. The figures were significantly lower than petrol LDVs for 2012 and 2013</w:t>
      </w:r>
      <w:r w:rsidR="00C9220D">
        <w:rPr>
          <w:rFonts w:asciiTheme="majorBidi" w:hAnsiTheme="majorBidi" w:cstheme="majorBidi"/>
          <w:sz w:val="24"/>
          <w:szCs w:val="24"/>
        </w:rPr>
        <w:t xml:space="preserve">. </w:t>
      </w:r>
      <w:r w:rsidR="00CB2A64">
        <w:rPr>
          <w:rFonts w:asciiTheme="majorBidi" w:hAnsiTheme="majorBidi" w:cstheme="majorBidi"/>
          <w:sz w:val="24"/>
          <w:szCs w:val="24"/>
        </w:rPr>
        <w:t xml:space="preserve"> </w:t>
      </w:r>
    </w:p>
    <w:p w14:paraId="7E59EA9A" w14:textId="70D3380F" w:rsidR="00C9220D" w:rsidRDefault="00C9220D" w:rsidP="00E75255">
      <w:pPr>
        <w:jc w:val="both"/>
        <w:rPr>
          <w:rFonts w:asciiTheme="majorBidi" w:hAnsiTheme="majorBidi" w:cstheme="majorBidi"/>
          <w:sz w:val="24"/>
          <w:szCs w:val="24"/>
        </w:rPr>
      </w:pPr>
      <w:r>
        <w:rPr>
          <w:rFonts w:asciiTheme="majorBidi" w:hAnsiTheme="majorBidi" w:cstheme="majorBidi"/>
          <w:sz w:val="24"/>
          <w:szCs w:val="24"/>
        </w:rPr>
        <w:t>Average co</w:t>
      </w:r>
      <w:r>
        <w:rPr>
          <w:rFonts w:asciiTheme="majorBidi" w:hAnsiTheme="majorBidi" w:cstheme="majorBidi"/>
          <w:sz w:val="24"/>
          <w:szCs w:val="24"/>
          <w:vertAlign w:val="subscript"/>
        </w:rPr>
        <w:t>2</w:t>
      </w:r>
      <w:r w:rsidR="007B411A">
        <w:rPr>
          <w:rFonts w:asciiTheme="majorBidi" w:hAnsiTheme="majorBidi" w:cstheme="majorBidi"/>
          <w:sz w:val="24"/>
          <w:szCs w:val="24"/>
        </w:rPr>
        <w:t xml:space="preserve"> emissions for new diesel LDVs were significantly lower than weighted ones at </w:t>
      </w:r>
      <w:r w:rsidR="00967321" w:rsidRPr="00967321">
        <w:rPr>
          <w:rFonts w:asciiTheme="majorBidi" w:hAnsiTheme="majorBidi" w:cstheme="majorBidi"/>
          <w:sz w:val="24"/>
          <w:szCs w:val="24"/>
        </w:rPr>
        <w:t>127.027</w:t>
      </w:r>
      <w:r w:rsidR="007B411A">
        <w:rPr>
          <w:rFonts w:asciiTheme="majorBidi" w:hAnsiTheme="majorBidi" w:cstheme="majorBidi"/>
          <w:sz w:val="24"/>
          <w:szCs w:val="24"/>
        </w:rPr>
        <w:t xml:space="preserve"> </w:t>
      </w:r>
      <w:r w:rsidR="00556E77">
        <w:rPr>
          <w:rFonts w:asciiTheme="majorBidi" w:hAnsiTheme="majorBidi" w:cstheme="majorBidi"/>
          <w:sz w:val="24"/>
          <w:szCs w:val="24"/>
        </w:rPr>
        <w:t>gco</w:t>
      </w:r>
      <w:r w:rsidR="00556E77">
        <w:rPr>
          <w:rFonts w:asciiTheme="majorBidi" w:hAnsiTheme="majorBidi" w:cstheme="majorBidi"/>
          <w:sz w:val="24"/>
          <w:szCs w:val="24"/>
          <w:vertAlign w:val="subscript"/>
        </w:rPr>
        <w:t>2</w:t>
      </w:r>
      <w:r w:rsidR="009E3B6D">
        <w:rPr>
          <w:rFonts w:asciiTheme="majorBidi" w:hAnsiTheme="majorBidi" w:cstheme="majorBidi"/>
          <w:sz w:val="24"/>
          <w:szCs w:val="24"/>
        </w:rPr>
        <w:t>/</w:t>
      </w:r>
      <w:r w:rsidR="00556E77">
        <w:rPr>
          <w:rFonts w:asciiTheme="majorBidi" w:hAnsiTheme="majorBidi" w:cstheme="majorBidi"/>
          <w:sz w:val="24"/>
          <w:szCs w:val="24"/>
        </w:rPr>
        <w:t xml:space="preserve"> </w:t>
      </w:r>
      <w:r w:rsidR="009E3B6D">
        <w:rPr>
          <w:rFonts w:asciiTheme="majorBidi" w:hAnsiTheme="majorBidi" w:cstheme="majorBidi"/>
          <w:sz w:val="24"/>
          <w:szCs w:val="24"/>
        </w:rPr>
        <w:t>km</w:t>
      </w:r>
      <w:r w:rsidR="007B411A">
        <w:rPr>
          <w:rFonts w:asciiTheme="majorBidi" w:hAnsiTheme="majorBidi" w:cstheme="majorBidi"/>
          <w:sz w:val="24"/>
          <w:szCs w:val="24"/>
        </w:rPr>
        <w:t xml:space="preserve"> in 2009. In 2012 and 2013 they </w:t>
      </w:r>
      <w:r w:rsidR="00DD3F64">
        <w:rPr>
          <w:rFonts w:asciiTheme="majorBidi" w:hAnsiTheme="majorBidi" w:cstheme="majorBidi"/>
          <w:sz w:val="24"/>
          <w:szCs w:val="24"/>
        </w:rPr>
        <w:t>were higher than weighted aver</w:t>
      </w:r>
      <w:r w:rsidR="004A4E65">
        <w:rPr>
          <w:rFonts w:asciiTheme="majorBidi" w:hAnsiTheme="majorBidi" w:cstheme="majorBidi"/>
          <w:sz w:val="24"/>
          <w:szCs w:val="24"/>
        </w:rPr>
        <w:t xml:space="preserve">ages at </w:t>
      </w:r>
      <w:r w:rsidR="00967321" w:rsidRPr="00967321">
        <w:rPr>
          <w:rFonts w:asciiTheme="majorBidi" w:hAnsiTheme="majorBidi" w:cstheme="majorBidi"/>
          <w:sz w:val="24"/>
          <w:szCs w:val="24"/>
        </w:rPr>
        <w:t>127.027</w:t>
      </w:r>
      <w:r w:rsidR="00967321">
        <w:rPr>
          <w:rFonts w:asciiTheme="majorBidi" w:hAnsiTheme="majorBidi" w:cstheme="majorBidi"/>
          <w:sz w:val="24"/>
          <w:szCs w:val="24"/>
        </w:rPr>
        <w:t xml:space="preserve"> </w:t>
      </w:r>
      <w:r w:rsidR="00DD3F64">
        <w:rPr>
          <w:rFonts w:asciiTheme="majorBidi" w:hAnsiTheme="majorBidi" w:cstheme="majorBidi"/>
          <w:sz w:val="24"/>
          <w:szCs w:val="24"/>
        </w:rPr>
        <w:t xml:space="preserve">and </w:t>
      </w:r>
      <w:r w:rsidR="00967321">
        <w:rPr>
          <w:rFonts w:asciiTheme="majorBidi" w:hAnsiTheme="majorBidi" w:cstheme="majorBidi"/>
          <w:sz w:val="24"/>
          <w:szCs w:val="24"/>
        </w:rPr>
        <w:t xml:space="preserve">128.7 </w:t>
      </w:r>
      <w:r w:rsidR="00556E77">
        <w:rPr>
          <w:rFonts w:asciiTheme="majorBidi" w:hAnsiTheme="majorBidi" w:cstheme="majorBidi"/>
          <w:sz w:val="24"/>
          <w:szCs w:val="24"/>
        </w:rPr>
        <w:t>gco</w:t>
      </w:r>
      <w:r w:rsidR="00556E77">
        <w:rPr>
          <w:rFonts w:asciiTheme="majorBidi" w:hAnsiTheme="majorBidi" w:cstheme="majorBidi"/>
          <w:sz w:val="24"/>
          <w:szCs w:val="24"/>
          <w:vertAlign w:val="subscript"/>
        </w:rPr>
        <w:t>2</w:t>
      </w:r>
      <w:r w:rsidR="009E3B6D">
        <w:rPr>
          <w:rFonts w:asciiTheme="majorBidi" w:hAnsiTheme="majorBidi" w:cstheme="majorBidi"/>
          <w:sz w:val="24"/>
          <w:szCs w:val="24"/>
        </w:rPr>
        <w:t>/</w:t>
      </w:r>
      <w:r w:rsidR="00556E77">
        <w:rPr>
          <w:rFonts w:asciiTheme="majorBidi" w:hAnsiTheme="majorBidi" w:cstheme="majorBidi"/>
          <w:sz w:val="24"/>
          <w:szCs w:val="24"/>
          <w:vertAlign w:val="subscript"/>
        </w:rPr>
        <w:t xml:space="preserve"> </w:t>
      </w:r>
      <w:r w:rsidR="009E3B6D">
        <w:rPr>
          <w:rFonts w:asciiTheme="majorBidi" w:hAnsiTheme="majorBidi" w:cstheme="majorBidi"/>
          <w:sz w:val="24"/>
          <w:szCs w:val="24"/>
        </w:rPr>
        <w:t>km</w:t>
      </w:r>
      <w:r w:rsidR="00967321">
        <w:rPr>
          <w:rFonts w:asciiTheme="majorBidi" w:hAnsiTheme="majorBidi" w:cstheme="majorBidi"/>
          <w:sz w:val="24"/>
          <w:szCs w:val="24"/>
        </w:rPr>
        <w:t>, respectively.</w:t>
      </w:r>
    </w:p>
    <w:p w14:paraId="5A8A11F3" w14:textId="77777777" w:rsidR="004A4E65" w:rsidRPr="004A4E65" w:rsidRDefault="004A4E65" w:rsidP="00E75255">
      <w:pPr>
        <w:jc w:val="both"/>
        <w:rPr>
          <w:rFonts w:asciiTheme="majorBidi" w:hAnsiTheme="majorBidi" w:cstheme="majorBidi"/>
          <w:b/>
          <w:bCs/>
          <w:i/>
          <w:iCs/>
          <w:sz w:val="24"/>
          <w:szCs w:val="24"/>
        </w:rPr>
      </w:pPr>
      <w:r w:rsidRPr="004A4E65">
        <w:rPr>
          <w:rFonts w:asciiTheme="majorBidi" w:hAnsiTheme="majorBidi" w:cstheme="majorBidi"/>
          <w:b/>
          <w:bCs/>
          <w:i/>
          <w:iCs/>
          <w:sz w:val="24"/>
          <w:szCs w:val="24"/>
        </w:rPr>
        <w:t>Fuel Consumption Trends</w:t>
      </w:r>
      <w:r>
        <w:rPr>
          <w:rFonts w:asciiTheme="majorBidi" w:hAnsiTheme="majorBidi" w:cstheme="majorBidi"/>
          <w:b/>
          <w:bCs/>
          <w:i/>
          <w:iCs/>
          <w:sz w:val="24"/>
          <w:szCs w:val="24"/>
        </w:rPr>
        <w:t xml:space="preserve"> </w:t>
      </w:r>
    </w:p>
    <w:p w14:paraId="7DDF88CA" w14:textId="77777777" w:rsidR="004A4E65" w:rsidRDefault="004A4E65" w:rsidP="00E75255">
      <w:pPr>
        <w:jc w:val="both"/>
        <w:rPr>
          <w:rFonts w:asciiTheme="majorBidi" w:hAnsiTheme="majorBidi" w:cstheme="majorBidi"/>
          <w:b/>
          <w:bCs/>
          <w:sz w:val="24"/>
          <w:szCs w:val="24"/>
        </w:rPr>
      </w:pPr>
      <w:r w:rsidRPr="004A4E65">
        <w:rPr>
          <w:rFonts w:asciiTheme="majorBidi" w:hAnsiTheme="majorBidi" w:cstheme="majorBidi"/>
          <w:sz w:val="24"/>
          <w:szCs w:val="24"/>
        </w:rPr>
        <w:t xml:space="preserve">Figure 6 shows fuel consumption (L/100km) trends for </w:t>
      </w:r>
      <w:r w:rsidR="00F20D59">
        <w:rPr>
          <w:rFonts w:asciiTheme="majorBidi" w:hAnsiTheme="majorBidi" w:cstheme="majorBidi"/>
          <w:sz w:val="24"/>
          <w:szCs w:val="24"/>
        </w:rPr>
        <w:t xml:space="preserve">new </w:t>
      </w:r>
      <w:r w:rsidRPr="004A4E65">
        <w:rPr>
          <w:rFonts w:asciiTheme="majorBidi" w:hAnsiTheme="majorBidi" w:cstheme="majorBidi"/>
          <w:sz w:val="24"/>
          <w:szCs w:val="24"/>
        </w:rPr>
        <w:t xml:space="preserve">petrol LDVs </w:t>
      </w:r>
      <w:r>
        <w:rPr>
          <w:rFonts w:asciiTheme="majorBidi" w:hAnsiTheme="majorBidi" w:cstheme="majorBidi"/>
          <w:sz w:val="24"/>
          <w:szCs w:val="24"/>
        </w:rPr>
        <w:t>in Morocco for the years 2009, 2012</w:t>
      </w:r>
      <w:r w:rsidR="0042026A">
        <w:rPr>
          <w:rFonts w:asciiTheme="majorBidi" w:hAnsiTheme="majorBidi" w:cstheme="majorBidi"/>
          <w:sz w:val="24"/>
          <w:szCs w:val="24"/>
        </w:rPr>
        <w:t>, and 2013</w:t>
      </w:r>
      <w:r w:rsidRPr="004A4E65">
        <w:rPr>
          <w:rFonts w:asciiTheme="majorBidi" w:hAnsiTheme="majorBidi" w:cstheme="majorBidi"/>
          <w:b/>
          <w:bCs/>
          <w:sz w:val="24"/>
          <w:szCs w:val="24"/>
        </w:rPr>
        <w:t>.</w:t>
      </w:r>
      <w:r>
        <w:rPr>
          <w:rFonts w:asciiTheme="majorBidi" w:hAnsiTheme="majorBidi" w:cstheme="majorBidi"/>
          <w:b/>
          <w:bCs/>
          <w:sz w:val="24"/>
          <w:szCs w:val="24"/>
        </w:rPr>
        <w:t xml:space="preserve"> </w:t>
      </w:r>
    </w:p>
    <w:p w14:paraId="038FB4B5" w14:textId="20FCB1A3" w:rsidR="00690E71" w:rsidRDefault="00E46692" w:rsidP="00E75255">
      <w:pPr>
        <w:keepNext/>
        <w:jc w:val="center"/>
      </w:pPr>
      <w:r>
        <w:rPr>
          <w:noProof/>
        </w:rPr>
        <w:drawing>
          <wp:inline distT="0" distB="0" distL="0" distR="0" wp14:anchorId="4A7288F1" wp14:editId="28E6428B">
            <wp:extent cx="3575304" cy="2295144"/>
            <wp:effectExtent l="0" t="0" r="635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75304" cy="2295144"/>
                    </a:xfrm>
                    <a:prstGeom prst="rect">
                      <a:avLst/>
                    </a:prstGeom>
                    <a:noFill/>
                  </pic:spPr>
                </pic:pic>
              </a:graphicData>
            </a:graphic>
          </wp:inline>
        </w:drawing>
      </w:r>
    </w:p>
    <w:p w14:paraId="3B143907" w14:textId="77777777" w:rsidR="00F20D59" w:rsidRDefault="00690E71" w:rsidP="00E75255">
      <w:pPr>
        <w:pStyle w:val="Caption"/>
        <w:jc w:val="center"/>
        <w:rPr>
          <w:rFonts w:asciiTheme="majorBidi" w:hAnsiTheme="majorBidi" w:cstheme="majorBidi"/>
          <w:b w:val="0"/>
          <w:bCs w:val="0"/>
          <w:sz w:val="24"/>
          <w:szCs w:val="24"/>
        </w:rPr>
      </w:pPr>
      <w:bookmarkStart w:id="27" w:name="_Toc402702774"/>
      <w:r>
        <w:t xml:space="preserve">Figure </w:t>
      </w:r>
      <w:r w:rsidR="003D4928">
        <w:fldChar w:fldCharType="begin"/>
      </w:r>
      <w:r w:rsidR="003D4928">
        <w:instrText xml:space="preserve"> SEQ Figure \* ARABIC </w:instrText>
      </w:r>
      <w:r w:rsidR="003D4928">
        <w:fldChar w:fldCharType="separate"/>
      </w:r>
      <w:r w:rsidR="00A06CBD">
        <w:rPr>
          <w:noProof/>
        </w:rPr>
        <w:t>6</w:t>
      </w:r>
      <w:r w:rsidR="003D4928">
        <w:rPr>
          <w:noProof/>
        </w:rPr>
        <w:fldChar w:fldCharType="end"/>
      </w:r>
      <w:r>
        <w:t>: Petrol Fuel Consumption for LDVs in Morocco</w:t>
      </w:r>
      <w:bookmarkEnd w:id="27"/>
    </w:p>
    <w:p w14:paraId="11DCA101" w14:textId="77777777" w:rsidR="00F20D59" w:rsidRDefault="00F20D59" w:rsidP="00E75255">
      <w:pPr>
        <w:jc w:val="both"/>
        <w:rPr>
          <w:rFonts w:asciiTheme="majorBidi" w:hAnsiTheme="majorBidi" w:cstheme="majorBidi"/>
          <w:b/>
          <w:bCs/>
          <w:sz w:val="24"/>
          <w:szCs w:val="24"/>
        </w:rPr>
      </w:pPr>
    </w:p>
    <w:p w14:paraId="58196693" w14:textId="77777777" w:rsidR="00F20D59" w:rsidRPr="00F20D59" w:rsidRDefault="00F20D59" w:rsidP="00E75255">
      <w:pPr>
        <w:jc w:val="both"/>
        <w:rPr>
          <w:rFonts w:asciiTheme="majorBidi" w:hAnsiTheme="majorBidi" w:cstheme="majorBidi"/>
          <w:sz w:val="24"/>
          <w:szCs w:val="24"/>
        </w:rPr>
      </w:pPr>
      <w:r w:rsidRPr="00F20D59">
        <w:rPr>
          <w:rFonts w:asciiTheme="majorBidi" w:hAnsiTheme="majorBidi" w:cstheme="majorBidi"/>
          <w:sz w:val="24"/>
          <w:szCs w:val="24"/>
        </w:rPr>
        <w:t>The weighted harmonic average</w:t>
      </w:r>
      <w:r w:rsidR="001D0C52">
        <w:rPr>
          <w:rFonts w:asciiTheme="majorBidi" w:hAnsiTheme="majorBidi" w:cstheme="majorBidi"/>
          <w:sz w:val="24"/>
          <w:szCs w:val="24"/>
        </w:rPr>
        <w:t>s of</w:t>
      </w:r>
      <w:r w:rsidRPr="00F20D59">
        <w:rPr>
          <w:rFonts w:asciiTheme="majorBidi" w:hAnsiTheme="majorBidi" w:cstheme="majorBidi"/>
          <w:sz w:val="24"/>
          <w:szCs w:val="24"/>
        </w:rPr>
        <w:t xml:space="preserve"> fu</w:t>
      </w:r>
      <w:r w:rsidR="001D0C52">
        <w:rPr>
          <w:rFonts w:asciiTheme="majorBidi" w:hAnsiTheme="majorBidi" w:cstheme="majorBidi"/>
          <w:sz w:val="24"/>
          <w:szCs w:val="24"/>
        </w:rPr>
        <w:t xml:space="preserve">el consumption for new petrol LDVs were </w:t>
      </w:r>
      <w:r w:rsidR="006D5849">
        <w:rPr>
          <w:rFonts w:asciiTheme="majorBidi" w:hAnsiTheme="majorBidi" w:cstheme="majorBidi"/>
          <w:sz w:val="24"/>
          <w:szCs w:val="24"/>
        </w:rPr>
        <w:t>close</w:t>
      </w:r>
      <w:r w:rsidRPr="00F20D59">
        <w:rPr>
          <w:rFonts w:asciiTheme="majorBidi" w:hAnsiTheme="majorBidi" w:cstheme="majorBidi"/>
          <w:sz w:val="24"/>
          <w:szCs w:val="24"/>
        </w:rPr>
        <w:t xml:space="preserve"> for the years 2009 and 2012 at 5.5</w:t>
      </w:r>
      <w:r w:rsidR="001D0C52">
        <w:rPr>
          <w:rFonts w:asciiTheme="majorBidi" w:hAnsiTheme="majorBidi" w:cstheme="majorBidi"/>
          <w:sz w:val="24"/>
          <w:szCs w:val="24"/>
        </w:rPr>
        <w:t>2</w:t>
      </w:r>
      <w:r w:rsidRPr="00F20D59">
        <w:rPr>
          <w:rFonts w:asciiTheme="majorBidi" w:hAnsiTheme="majorBidi" w:cstheme="majorBidi"/>
          <w:sz w:val="24"/>
          <w:szCs w:val="24"/>
        </w:rPr>
        <w:t xml:space="preserve"> l</w:t>
      </w:r>
      <w:r w:rsidR="001D0C52">
        <w:rPr>
          <w:rFonts w:asciiTheme="majorBidi" w:hAnsiTheme="majorBidi" w:cstheme="majorBidi"/>
          <w:sz w:val="24"/>
          <w:szCs w:val="24"/>
        </w:rPr>
        <w:t>iter</w:t>
      </w:r>
      <w:r w:rsidRPr="00F20D59">
        <w:rPr>
          <w:rFonts w:asciiTheme="majorBidi" w:hAnsiTheme="majorBidi" w:cstheme="majorBidi"/>
          <w:sz w:val="24"/>
          <w:szCs w:val="24"/>
        </w:rPr>
        <w:t>/100</w:t>
      </w:r>
      <w:r w:rsidR="001D0C52">
        <w:rPr>
          <w:rFonts w:asciiTheme="majorBidi" w:hAnsiTheme="majorBidi" w:cstheme="majorBidi"/>
          <w:sz w:val="24"/>
          <w:szCs w:val="24"/>
        </w:rPr>
        <w:t xml:space="preserve"> </w:t>
      </w:r>
      <w:r w:rsidRPr="00F20D59">
        <w:rPr>
          <w:rFonts w:asciiTheme="majorBidi" w:hAnsiTheme="majorBidi" w:cstheme="majorBidi"/>
          <w:sz w:val="24"/>
          <w:szCs w:val="24"/>
        </w:rPr>
        <w:t>km</w:t>
      </w:r>
      <w:r w:rsidR="001D0C52">
        <w:rPr>
          <w:rFonts w:asciiTheme="majorBidi" w:hAnsiTheme="majorBidi" w:cstheme="majorBidi"/>
          <w:sz w:val="24"/>
          <w:szCs w:val="24"/>
        </w:rPr>
        <w:t xml:space="preserve"> and 5.6 liter/100 km, respectively</w:t>
      </w:r>
      <w:r w:rsidRPr="00F20D59">
        <w:rPr>
          <w:rFonts w:asciiTheme="majorBidi" w:hAnsiTheme="majorBidi" w:cstheme="majorBidi"/>
          <w:sz w:val="24"/>
          <w:szCs w:val="24"/>
        </w:rPr>
        <w:t>.</w:t>
      </w:r>
      <w:r>
        <w:rPr>
          <w:rFonts w:asciiTheme="majorBidi" w:hAnsiTheme="majorBidi" w:cstheme="majorBidi"/>
          <w:sz w:val="24"/>
          <w:szCs w:val="24"/>
        </w:rPr>
        <w:t xml:space="preserve"> </w:t>
      </w:r>
      <w:r w:rsidR="001D0C52">
        <w:rPr>
          <w:rFonts w:asciiTheme="majorBidi" w:hAnsiTheme="majorBidi" w:cstheme="majorBidi"/>
          <w:sz w:val="24"/>
          <w:szCs w:val="24"/>
        </w:rPr>
        <w:t xml:space="preserve"> In 2013, they dropped to 5.43 liter/100 km. </w:t>
      </w:r>
      <w:r w:rsidRPr="00F20D59">
        <w:rPr>
          <w:rFonts w:asciiTheme="majorBidi" w:hAnsiTheme="majorBidi" w:cstheme="majorBidi"/>
          <w:sz w:val="24"/>
          <w:szCs w:val="24"/>
        </w:rPr>
        <w:t>Figure 7 shows the aforementioned trend for diesel vehicles.</w:t>
      </w:r>
      <w:r>
        <w:rPr>
          <w:rFonts w:asciiTheme="majorBidi" w:hAnsiTheme="majorBidi" w:cstheme="majorBidi"/>
          <w:sz w:val="24"/>
          <w:szCs w:val="24"/>
        </w:rPr>
        <w:t xml:space="preserve"> </w:t>
      </w:r>
    </w:p>
    <w:p w14:paraId="6180EC9E" w14:textId="77777777" w:rsidR="00F20D59" w:rsidRPr="00F20D59" w:rsidRDefault="00F20D59" w:rsidP="00E75255">
      <w:pPr>
        <w:jc w:val="both"/>
        <w:rPr>
          <w:rFonts w:asciiTheme="majorBidi" w:hAnsiTheme="majorBidi" w:cstheme="majorBidi"/>
          <w:sz w:val="24"/>
          <w:szCs w:val="24"/>
        </w:rPr>
      </w:pPr>
    </w:p>
    <w:p w14:paraId="2A0253B9" w14:textId="2D166D5A" w:rsidR="00690E71" w:rsidRDefault="00572193" w:rsidP="00E75255">
      <w:pPr>
        <w:keepNext/>
        <w:jc w:val="center"/>
      </w:pPr>
      <w:r>
        <w:rPr>
          <w:noProof/>
        </w:rPr>
        <w:lastRenderedPageBreak/>
        <w:drawing>
          <wp:inline distT="0" distB="0" distL="0" distR="0" wp14:anchorId="23A61D56" wp14:editId="1626B16B">
            <wp:extent cx="3621024" cy="3200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21024" cy="3200400"/>
                    </a:xfrm>
                    <a:prstGeom prst="rect">
                      <a:avLst/>
                    </a:prstGeom>
                    <a:noFill/>
                  </pic:spPr>
                </pic:pic>
              </a:graphicData>
            </a:graphic>
          </wp:inline>
        </w:drawing>
      </w:r>
    </w:p>
    <w:p w14:paraId="3652B062" w14:textId="77777777" w:rsidR="004A4E65" w:rsidRPr="00C9220D" w:rsidRDefault="00690E71" w:rsidP="00E75255">
      <w:pPr>
        <w:pStyle w:val="Caption"/>
        <w:jc w:val="center"/>
        <w:rPr>
          <w:rFonts w:asciiTheme="majorBidi" w:hAnsiTheme="majorBidi" w:cstheme="majorBidi"/>
          <w:sz w:val="24"/>
          <w:szCs w:val="24"/>
        </w:rPr>
      </w:pPr>
      <w:bookmarkStart w:id="28" w:name="_Toc402702775"/>
      <w:r>
        <w:t xml:space="preserve">Figure </w:t>
      </w:r>
      <w:r w:rsidR="003D4928">
        <w:fldChar w:fldCharType="begin"/>
      </w:r>
      <w:r w:rsidR="003D4928">
        <w:instrText xml:space="preserve"> SEQ Figure \* ARABIC </w:instrText>
      </w:r>
      <w:r w:rsidR="003D4928">
        <w:fldChar w:fldCharType="separate"/>
      </w:r>
      <w:r w:rsidR="00A06CBD">
        <w:rPr>
          <w:noProof/>
        </w:rPr>
        <w:t>7</w:t>
      </w:r>
      <w:r w:rsidR="003D4928">
        <w:rPr>
          <w:noProof/>
        </w:rPr>
        <w:fldChar w:fldCharType="end"/>
      </w:r>
      <w:r>
        <w:t>: Diesel Fuel Consumption for LDVs in Morocco</w:t>
      </w:r>
      <w:bookmarkEnd w:id="28"/>
    </w:p>
    <w:p w14:paraId="1D4560B7" w14:textId="77777777" w:rsidR="00BD18AA" w:rsidRPr="00BD18AA" w:rsidRDefault="00BD18AA" w:rsidP="00E75255">
      <w:pPr>
        <w:jc w:val="both"/>
        <w:rPr>
          <w:rFonts w:asciiTheme="majorBidi" w:hAnsiTheme="majorBidi" w:cstheme="majorBidi"/>
          <w:sz w:val="24"/>
          <w:szCs w:val="24"/>
        </w:rPr>
      </w:pPr>
    </w:p>
    <w:p w14:paraId="099C2067" w14:textId="77777777" w:rsidR="00807CEA" w:rsidRDefault="00EC7995" w:rsidP="00E75255">
      <w:pPr>
        <w:jc w:val="both"/>
        <w:rPr>
          <w:rFonts w:asciiTheme="majorBidi" w:hAnsiTheme="majorBidi" w:cstheme="majorBidi"/>
          <w:sz w:val="24"/>
          <w:szCs w:val="24"/>
        </w:rPr>
      </w:pPr>
      <w:r>
        <w:rPr>
          <w:rFonts w:asciiTheme="majorBidi" w:hAnsiTheme="majorBidi" w:cstheme="majorBidi"/>
          <w:sz w:val="24"/>
          <w:szCs w:val="24"/>
        </w:rPr>
        <w:t>The figures for weighted harmonic average fuel consumption for new diesel LDVs were both constant, at four plus several decimal point Liters/100km, and lower</w:t>
      </w:r>
      <w:r w:rsidR="00CA7C29">
        <w:rPr>
          <w:rFonts w:asciiTheme="majorBidi" w:hAnsiTheme="majorBidi" w:cstheme="majorBidi"/>
          <w:sz w:val="24"/>
          <w:szCs w:val="24"/>
        </w:rPr>
        <w:t xml:space="preserve"> than petrol figures for all the study years.</w:t>
      </w:r>
    </w:p>
    <w:p w14:paraId="4593D3AD" w14:textId="77777777" w:rsidR="00FA018E" w:rsidRDefault="00FA018E" w:rsidP="00F10DFD">
      <w:pPr>
        <w:pStyle w:val="Heading1"/>
      </w:pPr>
      <w:bookmarkStart w:id="29" w:name="_Toc402703207"/>
      <w:r w:rsidRPr="00FA018E">
        <w:t>Discussion of Data</w:t>
      </w:r>
      <w:bookmarkEnd w:id="29"/>
    </w:p>
    <w:p w14:paraId="532C7FE5" w14:textId="77777777" w:rsidR="00FA018E" w:rsidRDefault="00FA018E" w:rsidP="00E75255">
      <w:pPr>
        <w:jc w:val="both"/>
        <w:rPr>
          <w:rFonts w:asciiTheme="majorBidi" w:hAnsiTheme="majorBidi" w:cstheme="majorBidi"/>
          <w:sz w:val="24"/>
          <w:szCs w:val="24"/>
        </w:rPr>
      </w:pPr>
      <w:r w:rsidRPr="00FA018E">
        <w:rPr>
          <w:rFonts w:asciiTheme="majorBidi" w:hAnsiTheme="majorBidi" w:cstheme="majorBidi"/>
          <w:sz w:val="24"/>
          <w:szCs w:val="24"/>
        </w:rPr>
        <w:t>Non-OECD fuel economy averages for LDVs in L/100km for 2005, 2008 and 2011 were 7.5, 7.6, 7.5, while OECD averages were 8.1, 7.6 and 7 (Fuel Economy State of the World, 2014).</w:t>
      </w:r>
      <w:r w:rsidR="0004082F">
        <w:rPr>
          <w:rFonts w:asciiTheme="majorBidi" w:hAnsiTheme="majorBidi" w:cstheme="majorBidi"/>
          <w:sz w:val="24"/>
          <w:szCs w:val="24"/>
        </w:rPr>
        <w:t xml:space="preserve"> Morocco</w:t>
      </w:r>
      <w:r w:rsidRPr="00FA018E">
        <w:rPr>
          <w:rFonts w:asciiTheme="majorBidi" w:hAnsiTheme="majorBidi" w:cstheme="majorBidi"/>
          <w:sz w:val="24"/>
          <w:szCs w:val="24"/>
        </w:rPr>
        <w:t xml:space="preserve"> fared very well in comparison with the two said </w:t>
      </w:r>
      <w:r w:rsidR="00D47B99" w:rsidRPr="00FA018E">
        <w:rPr>
          <w:rFonts w:asciiTheme="majorBidi" w:hAnsiTheme="majorBidi" w:cstheme="majorBidi"/>
          <w:sz w:val="24"/>
          <w:szCs w:val="24"/>
        </w:rPr>
        <w:t>groups;</w:t>
      </w:r>
      <w:r w:rsidRPr="00FA018E">
        <w:rPr>
          <w:rFonts w:asciiTheme="majorBidi" w:hAnsiTheme="majorBidi" w:cstheme="majorBidi"/>
          <w:sz w:val="24"/>
          <w:szCs w:val="24"/>
        </w:rPr>
        <w:t xml:space="preserve"> with fuel consumption levels well below their averages at fe</w:t>
      </w:r>
      <w:r w:rsidR="0004082F">
        <w:rPr>
          <w:rFonts w:asciiTheme="majorBidi" w:hAnsiTheme="majorBidi" w:cstheme="majorBidi"/>
          <w:sz w:val="24"/>
          <w:szCs w:val="24"/>
        </w:rPr>
        <w:t xml:space="preserve">w decimal points above </w:t>
      </w:r>
      <w:r w:rsidRPr="00FA018E">
        <w:rPr>
          <w:rFonts w:asciiTheme="majorBidi" w:hAnsiTheme="majorBidi" w:cstheme="majorBidi"/>
          <w:sz w:val="24"/>
          <w:szCs w:val="24"/>
        </w:rPr>
        <w:t>5 l/</w:t>
      </w:r>
      <w:r w:rsidR="0004082F">
        <w:rPr>
          <w:rFonts w:asciiTheme="majorBidi" w:hAnsiTheme="majorBidi" w:cstheme="majorBidi"/>
          <w:sz w:val="24"/>
          <w:szCs w:val="24"/>
        </w:rPr>
        <w:t xml:space="preserve">100 km for </w:t>
      </w:r>
      <w:r w:rsidRPr="00FA018E">
        <w:rPr>
          <w:rFonts w:asciiTheme="majorBidi" w:hAnsiTheme="majorBidi" w:cstheme="majorBidi"/>
          <w:sz w:val="24"/>
          <w:szCs w:val="24"/>
        </w:rPr>
        <w:t>p</w:t>
      </w:r>
      <w:r w:rsidR="0004082F">
        <w:rPr>
          <w:rFonts w:asciiTheme="majorBidi" w:hAnsiTheme="majorBidi" w:cstheme="majorBidi"/>
          <w:sz w:val="24"/>
          <w:szCs w:val="24"/>
        </w:rPr>
        <w:t>etrol</w:t>
      </w:r>
      <w:r w:rsidRPr="00FA018E">
        <w:rPr>
          <w:rFonts w:asciiTheme="majorBidi" w:hAnsiTheme="majorBidi" w:cstheme="majorBidi"/>
          <w:sz w:val="24"/>
          <w:szCs w:val="24"/>
        </w:rPr>
        <w:t xml:space="preserve"> LDVs.</w:t>
      </w:r>
      <w:r w:rsidR="00D47B99">
        <w:rPr>
          <w:rFonts w:asciiTheme="majorBidi" w:hAnsiTheme="majorBidi" w:cstheme="majorBidi"/>
          <w:sz w:val="24"/>
          <w:szCs w:val="24"/>
        </w:rPr>
        <w:t xml:space="preserve"> </w:t>
      </w:r>
      <w:r w:rsidR="0004082F">
        <w:rPr>
          <w:rFonts w:asciiTheme="majorBidi" w:hAnsiTheme="majorBidi" w:cstheme="majorBidi"/>
          <w:sz w:val="24"/>
          <w:szCs w:val="24"/>
        </w:rPr>
        <w:t xml:space="preserve">Fuel consumption levels were even better for diesel LDVs which stood at levels </w:t>
      </w:r>
      <w:r w:rsidR="00B553C0">
        <w:rPr>
          <w:rFonts w:asciiTheme="majorBidi" w:hAnsiTheme="majorBidi" w:cstheme="majorBidi"/>
          <w:sz w:val="24"/>
          <w:szCs w:val="24"/>
        </w:rPr>
        <w:t xml:space="preserve">of few decimal points above </w:t>
      </w:r>
      <w:r w:rsidR="00852E43">
        <w:rPr>
          <w:rFonts w:asciiTheme="majorBidi" w:hAnsiTheme="majorBidi" w:cstheme="majorBidi"/>
          <w:sz w:val="24"/>
          <w:szCs w:val="24"/>
        </w:rPr>
        <w:t xml:space="preserve">four </w:t>
      </w:r>
      <w:r w:rsidR="0004082F">
        <w:rPr>
          <w:rFonts w:asciiTheme="majorBidi" w:hAnsiTheme="majorBidi" w:cstheme="majorBidi"/>
          <w:sz w:val="24"/>
          <w:szCs w:val="24"/>
        </w:rPr>
        <w:t>Liter/100km.</w:t>
      </w:r>
      <w:r w:rsidRPr="00FA018E">
        <w:rPr>
          <w:rFonts w:asciiTheme="majorBidi" w:hAnsiTheme="majorBidi" w:cstheme="majorBidi"/>
          <w:sz w:val="24"/>
          <w:szCs w:val="24"/>
        </w:rPr>
        <w:t xml:space="preserve"> </w:t>
      </w:r>
      <w:r w:rsidR="0004082F">
        <w:rPr>
          <w:rFonts w:asciiTheme="majorBidi" w:hAnsiTheme="majorBidi" w:cstheme="majorBidi"/>
          <w:sz w:val="24"/>
          <w:szCs w:val="24"/>
        </w:rPr>
        <w:t>These sustainable levels for</w:t>
      </w:r>
      <w:r w:rsidR="00D47B99">
        <w:rPr>
          <w:rFonts w:asciiTheme="majorBidi" w:hAnsiTheme="majorBidi" w:cstheme="majorBidi"/>
          <w:sz w:val="24"/>
          <w:szCs w:val="24"/>
        </w:rPr>
        <w:t xml:space="preserve"> fuel</w:t>
      </w:r>
      <w:r w:rsidR="003778A9">
        <w:rPr>
          <w:rFonts w:asciiTheme="majorBidi" w:hAnsiTheme="majorBidi" w:cstheme="majorBidi"/>
          <w:sz w:val="24"/>
          <w:szCs w:val="24"/>
        </w:rPr>
        <w:t xml:space="preserve"> economy/</w:t>
      </w:r>
      <w:r w:rsidR="00D47B99">
        <w:rPr>
          <w:rFonts w:asciiTheme="majorBidi" w:hAnsiTheme="majorBidi" w:cstheme="majorBidi"/>
          <w:sz w:val="24"/>
          <w:szCs w:val="24"/>
        </w:rPr>
        <w:t xml:space="preserve"> consumption were the outcome of high fuel pri</w:t>
      </w:r>
      <w:r w:rsidR="00B553C0">
        <w:rPr>
          <w:rFonts w:asciiTheme="majorBidi" w:hAnsiTheme="majorBidi" w:cstheme="majorBidi"/>
          <w:sz w:val="24"/>
          <w:szCs w:val="24"/>
        </w:rPr>
        <w:t xml:space="preserve">ces using a Middle-Eastern benchmark, which in turn is driving public awareness of fuel economy/consumption </w:t>
      </w:r>
      <w:r w:rsidR="003558DB">
        <w:rPr>
          <w:rFonts w:asciiTheme="majorBidi" w:hAnsiTheme="majorBidi" w:cstheme="majorBidi"/>
          <w:sz w:val="24"/>
          <w:szCs w:val="24"/>
        </w:rPr>
        <w:t>considerations;</w:t>
      </w:r>
      <w:r w:rsidR="003778A9">
        <w:rPr>
          <w:rFonts w:asciiTheme="majorBidi" w:hAnsiTheme="majorBidi" w:cstheme="majorBidi"/>
          <w:sz w:val="24"/>
          <w:szCs w:val="24"/>
        </w:rPr>
        <w:t xml:space="preserve"> especially that </w:t>
      </w:r>
      <w:r w:rsidR="003558DB">
        <w:rPr>
          <w:rFonts w:asciiTheme="majorBidi" w:hAnsiTheme="majorBidi" w:cstheme="majorBidi"/>
          <w:sz w:val="24"/>
          <w:szCs w:val="24"/>
        </w:rPr>
        <w:t>World Bank</w:t>
      </w:r>
      <w:r w:rsidR="003778A9">
        <w:rPr>
          <w:rFonts w:asciiTheme="majorBidi" w:hAnsiTheme="majorBidi" w:cstheme="majorBidi"/>
          <w:sz w:val="24"/>
          <w:szCs w:val="24"/>
        </w:rPr>
        <w:t xml:space="preserve"> ranks Morocco </w:t>
      </w:r>
      <w:r w:rsidR="003558DB">
        <w:rPr>
          <w:rFonts w:asciiTheme="majorBidi" w:hAnsiTheme="majorBidi" w:cstheme="majorBidi"/>
          <w:sz w:val="24"/>
          <w:szCs w:val="24"/>
        </w:rPr>
        <w:t>as a lower</w:t>
      </w:r>
      <w:r w:rsidR="003778A9">
        <w:rPr>
          <w:rFonts w:asciiTheme="majorBidi" w:hAnsiTheme="majorBidi" w:cstheme="majorBidi"/>
          <w:sz w:val="24"/>
          <w:szCs w:val="24"/>
        </w:rPr>
        <w:t xml:space="preserve"> middle income country</w:t>
      </w:r>
      <w:r w:rsidR="00B553C0">
        <w:rPr>
          <w:rFonts w:asciiTheme="majorBidi" w:hAnsiTheme="majorBidi" w:cstheme="majorBidi"/>
          <w:sz w:val="24"/>
          <w:szCs w:val="24"/>
        </w:rPr>
        <w:t xml:space="preserve">. </w:t>
      </w:r>
      <w:r w:rsidR="003778A9">
        <w:rPr>
          <w:rFonts w:asciiTheme="majorBidi" w:hAnsiTheme="majorBidi" w:cstheme="majorBidi"/>
          <w:sz w:val="24"/>
          <w:szCs w:val="24"/>
        </w:rPr>
        <w:t xml:space="preserve">The high levels of commuting in several Moroccan cities and the inter-town </w:t>
      </w:r>
      <w:r w:rsidR="003558DB">
        <w:rPr>
          <w:rFonts w:asciiTheme="majorBidi" w:hAnsiTheme="majorBidi" w:cstheme="majorBidi"/>
          <w:sz w:val="24"/>
          <w:szCs w:val="24"/>
        </w:rPr>
        <w:t>traffic bring to the for</w:t>
      </w:r>
      <w:r w:rsidR="003778A9">
        <w:rPr>
          <w:rFonts w:asciiTheme="majorBidi" w:hAnsiTheme="majorBidi" w:cstheme="majorBidi"/>
          <w:sz w:val="24"/>
          <w:szCs w:val="24"/>
        </w:rPr>
        <w:t xml:space="preserve"> a fuel economy/consumption criterion on buying LDVs</w:t>
      </w:r>
      <w:r w:rsidR="003558DB">
        <w:rPr>
          <w:rFonts w:asciiTheme="majorBidi" w:hAnsiTheme="majorBidi" w:cstheme="majorBidi"/>
          <w:sz w:val="24"/>
          <w:szCs w:val="24"/>
        </w:rPr>
        <w:t>.</w:t>
      </w:r>
    </w:p>
    <w:p w14:paraId="6D334B2E" w14:textId="77777777" w:rsidR="003558DB" w:rsidRPr="003558DB" w:rsidRDefault="003558DB" w:rsidP="00E75255">
      <w:pPr>
        <w:jc w:val="both"/>
        <w:rPr>
          <w:rFonts w:asciiTheme="majorBidi" w:hAnsiTheme="majorBidi" w:cstheme="majorBidi"/>
          <w:sz w:val="24"/>
          <w:szCs w:val="24"/>
        </w:rPr>
      </w:pPr>
      <w:r w:rsidRPr="003558DB">
        <w:rPr>
          <w:rFonts w:asciiTheme="majorBidi" w:hAnsiTheme="majorBidi" w:cstheme="majorBidi"/>
          <w:sz w:val="24"/>
          <w:szCs w:val="24"/>
        </w:rPr>
        <w:t>For petrol LDVs, CO</w:t>
      </w:r>
      <w:r w:rsidRPr="003558DB">
        <w:rPr>
          <w:rFonts w:asciiTheme="majorBidi" w:hAnsiTheme="majorBidi" w:cstheme="majorBidi"/>
          <w:sz w:val="24"/>
          <w:szCs w:val="24"/>
          <w:vertAlign w:val="subscript"/>
        </w:rPr>
        <w:t>2</w:t>
      </w:r>
      <w:r w:rsidRPr="003558DB">
        <w:rPr>
          <w:rFonts w:asciiTheme="majorBidi" w:hAnsiTheme="majorBidi" w:cstheme="majorBidi"/>
          <w:sz w:val="24"/>
          <w:szCs w:val="24"/>
        </w:rPr>
        <w:t xml:space="preserve"> emissions rates followed the same pattern of change of fuel consumption for the study years since there is a strong causation between fuel consumption and CO</w:t>
      </w:r>
      <w:r w:rsidRPr="003558DB">
        <w:rPr>
          <w:rFonts w:asciiTheme="majorBidi" w:hAnsiTheme="majorBidi" w:cstheme="majorBidi"/>
          <w:sz w:val="24"/>
          <w:szCs w:val="24"/>
          <w:vertAlign w:val="subscript"/>
        </w:rPr>
        <w:t>2</w:t>
      </w:r>
      <w:r w:rsidRPr="003558DB">
        <w:rPr>
          <w:rFonts w:asciiTheme="majorBidi" w:hAnsiTheme="majorBidi" w:cstheme="majorBidi"/>
          <w:sz w:val="24"/>
          <w:szCs w:val="24"/>
        </w:rPr>
        <w:t xml:space="preserve"> emissions. </w:t>
      </w:r>
    </w:p>
    <w:p w14:paraId="63D81F7E" w14:textId="77777777" w:rsidR="003558DB" w:rsidRDefault="003C474D" w:rsidP="00E75255">
      <w:pPr>
        <w:jc w:val="both"/>
        <w:rPr>
          <w:rFonts w:asciiTheme="majorBidi" w:hAnsiTheme="majorBidi" w:cstheme="majorBidi"/>
          <w:sz w:val="24"/>
          <w:szCs w:val="24"/>
        </w:rPr>
      </w:pPr>
      <w:r>
        <w:rPr>
          <w:rFonts w:asciiTheme="majorBidi" w:hAnsiTheme="majorBidi" w:cstheme="majorBidi"/>
          <w:sz w:val="24"/>
          <w:szCs w:val="24"/>
        </w:rPr>
        <w:lastRenderedPageBreak/>
        <w:t>The above is applicable to diesel LDVs</w:t>
      </w:r>
      <w:r w:rsidRPr="003C474D">
        <w:rPr>
          <w:rFonts w:asciiTheme="majorBidi" w:hAnsiTheme="majorBidi" w:cstheme="majorBidi"/>
          <w:sz w:val="24"/>
          <w:szCs w:val="24"/>
        </w:rPr>
        <w:t xml:space="preserve"> CO</w:t>
      </w:r>
      <w:r w:rsidRPr="003C474D">
        <w:rPr>
          <w:rFonts w:asciiTheme="majorBidi" w:hAnsiTheme="majorBidi" w:cstheme="majorBidi"/>
          <w:sz w:val="24"/>
          <w:szCs w:val="24"/>
          <w:vertAlign w:val="subscript"/>
        </w:rPr>
        <w:t>2</w:t>
      </w:r>
      <w:r w:rsidRPr="003C474D">
        <w:rPr>
          <w:rFonts w:asciiTheme="majorBidi" w:hAnsiTheme="majorBidi" w:cstheme="majorBidi"/>
          <w:sz w:val="24"/>
          <w:szCs w:val="24"/>
        </w:rPr>
        <w:t xml:space="preserve"> emissions rates</w:t>
      </w:r>
      <w:r w:rsidR="00387779">
        <w:rPr>
          <w:rFonts w:asciiTheme="majorBidi" w:hAnsiTheme="majorBidi" w:cstheme="majorBidi"/>
          <w:sz w:val="24"/>
          <w:szCs w:val="24"/>
        </w:rPr>
        <w:t xml:space="preserve"> </w:t>
      </w:r>
      <w:r w:rsidR="004669BA">
        <w:rPr>
          <w:rFonts w:asciiTheme="majorBidi" w:hAnsiTheme="majorBidi" w:cstheme="majorBidi"/>
          <w:sz w:val="24"/>
          <w:szCs w:val="24"/>
        </w:rPr>
        <w:t>as well. In 2009</w:t>
      </w:r>
      <w:r w:rsidR="00387779">
        <w:rPr>
          <w:rFonts w:asciiTheme="majorBidi" w:hAnsiTheme="majorBidi" w:cstheme="majorBidi"/>
          <w:sz w:val="24"/>
          <w:szCs w:val="24"/>
        </w:rPr>
        <w:t xml:space="preserve">, </w:t>
      </w:r>
      <w:r w:rsidR="002856A0">
        <w:rPr>
          <w:rFonts w:asciiTheme="majorBidi" w:hAnsiTheme="majorBidi" w:cstheme="majorBidi"/>
          <w:sz w:val="24"/>
          <w:szCs w:val="24"/>
        </w:rPr>
        <w:t>the CO2 weighted average emissions for diesel LDVs were</w:t>
      </w:r>
      <w:r w:rsidR="00387779">
        <w:rPr>
          <w:rFonts w:asciiTheme="majorBidi" w:hAnsiTheme="majorBidi" w:cstheme="majorBidi"/>
          <w:sz w:val="24"/>
          <w:szCs w:val="24"/>
        </w:rPr>
        <w:t xml:space="preserve"> significantly higher</w:t>
      </w:r>
      <w:r w:rsidR="004669BA">
        <w:rPr>
          <w:rFonts w:asciiTheme="majorBidi" w:hAnsiTheme="majorBidi" w:cstheme="majorBidi"/>
          <w:sz w:val="24"/>
          <w:szCs w:val="24"/>
        </w:rPr>
        <w:t xml:space="preserve"> than those in</w:t>
      </w:r>
      <w:r w:rsidR="00387779">
        <w:rPr>
          <w:rFonts w:asciiTheme="majorBidi" w:hAnsiTheme="majorBidi" w:cstheme="majorBidi"/>
          <w:sz w:val="24"/>
          <w:szCs w:val="24"/>
        </w:rPr>
        <w:t xml:space="preserve"> 2012 and 2013. This is due to considerable sales in 2009</w:t>
      </w:r>
      <w:r w:rsidR="00E33410">
        <w:rPr>
          <w:rFonts w:asciiTheme="majorBidi" w:hAnsiTheme="majorBidi" w:cstheme="majorBidi"/>
          <w:sz w:val="24"/>
          <w:szCs w:val="24"/>
        </w:rPr>
        <w:t xml:space="preserve"> </w:t>
      </w:r>
      <w:r w:rsidR="00387779">
        <w:rPr>
          <w:rFonts w:asciiTheme="majorBidi" w:hAnsiTheme="majorBidi" w:cstheme="majorBidi"/>
          <w:sz w:val="24"/>
          <w:szCs w:val="24"/>
        </w:rPr>
        <w:t>of</w:t>
      </w:r>
      <w:r w:rsidR="00E33410">
        <w:rPr>
          <w:rFonts w:asciiTheme="majorBidi" w:hAnsiTheme="majorBidi" w:cstheme="majorBidi"/>
          <w:sz w:val="24"/>
          <w:szCs w:val="24"/>
        </w:rPr>
        <w:t xml:space="preserve"> certain m</w:t>
      </w:r>
      <w:r w:rsidR="009F7F69">
        <w:rPr>
          <w:rFonts w:asciiTheme="majorBidi" w:hAnsiTheme="majorBidi" w:cstheme="majorBidi"/>
          <w:sz w:val="24"/>
          <w:szCs w:val="24"/>
        </w:rPr>
        <w:t>odels that were not sold in 2012 and2013</w:t>
      </w:r>
      <w:r w:rsidR="00E33410">
        <w:rPr>
          <w:rFonts w:asciiTheme="majorBidi" w:hAnsiTheme="majorBidi" w:cstheme="majorBidi"/>
          <w:sz w:val="24"/>
          <w:szCs w:val="24"/>
        </w:rPr>
        <w:t xml:space="preserve">. </w:t>
      </w:r>
      <w:r w:rsidR="002856A0">
        <w:rPr>
          <w:rFonts w:asciiTheme="majorBidi" w:hAnsiTheme="majorBidi" w:cstheme="majorBidi"/>
          <w:sz w:val="24"/>
          <w:szCs w:val="24"/>
        </w:rPr>
        <w:t>Those were</w:t>
      </w:r>
      <w:r w:rsidR="00387779">
        <w:rPr>
          <w:rFonts w:asciiTheme="majorBidi" w:hAnsiTheme="majorBidi" w:cstheme="majorBidi"/>
          <w:sz w:val="24"/>
          <w:szCs w:val="24"/>
        </w:rPr>
        <w:t>: Toyota Prado, Toyota Corolla, Volkswagen Passat, Kia Sportage and Kia Carens</w:t>
      </w:r>
      <w:r w:rsidR="003C3826">
        <w:rPr>
          <w:rFonts w:asciiTheme="majorBidi" w:hAnsiTheme="majorBidi" w:cstheme="majorBidi"/>
          <w:sz w:val="24"/>
          <w:szCs w:val="24"/>
        </w:rPr>
        <w:t>. Those models have high levels of CO</w:t>
      </w:r>
      <w:r w:rsidR="003C3826">
        <w:rPr>
          <w:rFonts w:asciiTheme="majorBidi" w:hAnsiTheme="majorBidi" w:cstheme="majorBidi"/>
          <w:sz w:val="24"/>
          <w:szCs w:val="24"/>
          <w:vertAlign w:val="subscript"/>
        </w:rPr>
        <w:t>2</w:t>
      </w:r>
      <w:r w:rsidR="003C3826">
        <w:rPr>
          <w:rFonts w:asciiTheme="majorBidi" w:hAnsiTheme="majorBidi" w:cstheme="majorBidi"/>
          <w:sz w:val="24"/>
          <w:szCs w:val="24"/>
        </w:rPr>
        <w:t xml:space="preserve"> emissions </w:t>
      </w:r>
      <w:r w:rsidR="00E33410">
        <w:rPr>
          <w:rFonts w:asciiTheme="majorBidi" w:hAnsiTheme="majorBidi" w:cstheme="majorBidi"/>
          <w:sz w:val="24"/>
          <w:szCs w:val="24"/>
        </w:rPr>
        <w:t>which   affected tangibly the weighted average of LDVs sale</w:t>
      </w:r>
      <w:r w:rsidR="004669BA">
        <w:rPr>
          <w:rFonts w:asciiTheme="majorBidi" w:hAnsiTheme="majorBidi" w:cstheme="majorBidi"/>
          <w:sz w:val="24"/>
          <w:szCs w:val="24"/>
        </w:rPr>
        <w:t>s. This impact was not much fleshed out</w:t>
      </w:r>
      <w:r w:rsidR="00E33410">
        <w:rPr>
          <w:rFonts w:asciiTheme="majorBidi" w:hAnsiTheme="majorBidi" w:cstheme="majorBidi"/>
          <w:sz w:val="24"/>
          <w:szCs w:val="24"/>
        </w:rPr>
        <w:t xml:space="preserve"> for Fuel economy/consumption since </w:t>
      </w:r>
      <w:r w:rsidR="00CF5883">
        <w:rPr>
          <w:rFonts w:asciiTheme="majorBidi" w:hAnsiTheme="majorBidi" w:cstheme="majorBidi"/>
          <w:sz w:val="24"/>
          <w:szCs w:val="24"/>
        </w:rPr>
        <w:t>the span</w:t>
      </w:r>
      <w:r w:rsidR="00E33410">
        <w:rPr>
          <w:rFonts w:asciiTheme="majorBidi" w:hAnsiTheme="majorBidi" w:cstheme="majorBidi"/>
          <w:sz w:val="24"/>
          <w:szCs w:val="24"/>
        </w:rPr>
        <w:t xml:space="preserve"> of difference between the calculated harmonic </w:t>
      </w:r>
      <w:r w:rsidR="00CF5883">
        <w:rPr>
          <w:rFonts w:asciiTheme="majorBidi" w:hAnsiTheme="majorBidi" w:cstheme="majorBidi"/>
          <w:sz w:val="24"/>
          <w:szCs w:val="24"/>
        </w:rPr>
        <w:t>average for</w:t>
      </w:r>
      <w:r w:rsidR="00256A7E">
        <w:rPr>
          <w:rFonts w:asciiTheme="majorBidi" w:hAnsiTheme="majorBidi" w:cstheme="majorBidi"/>
          <w:sz w:val="24"/>
          <w:szCs w:val="24"/>
        </w:rPr>
        <w:t xml:space="preserve"> the year and the </w:t>
      </w:r>
      <w:r w:rsidR="00E33410">
        <w:rPr>
          <w:rFonts w:asciiTheme="majorBidi" w:hAnsiTheme="majorBidi" w:cstheme="majorBidi"/>
          <w:sz w:val="24"/>
          <w:szCs w:val="24"/>
        </w:rPr>
        <w:t xml:space="preserve">fuel economy/consumption </w:t>
      </w:r>
      <w:r w:rsidR="00256A7E">
        <w:rPr>
          <w:rFonts w:asciiTheme="majorBidi" w:hAnsiTheme="majorBidi" w:cstheme="majorBidi"/>
          <w:sz w:val="24"/>
          <w:szCs w:val="24"/>
        </w:rPr>
        <w:t xml:space="preserve">averages of the said models </w:t>
      </w:r>
      <w:r w:rsidR="004669BA">
        <w:rPr>
          <w:rFonts w:asciiTheme="majorBidi" w:hAnsiTheme="majorBidi" w:cstheme="majorBidi"/>
          <w:sz w:val="24"/>
          <w:szCs w:val="24"/>
        </w:rPr>
        <w:t>is</w:t>
      </w:r>
      <w:r w:rsidR="00256A7E">
        <w:rPr>
          <w:rFonts w:asciiTheme="majorBidi" w:hAnsiTheme="majorBidi" w:cstheme="majorBidi"/>
          <w:sz w:val="24"/>
          <w:szCs w:val="24"/>
        </w:rPr>
        <w:t xml:space="preserve"> not </w:t>
      </w:r>
      <w:r w:rsidR="00E33410">
        <w:rPr>
          <w:rFonts w:asciiTheme="majorBidi" w:hAnsiTheme="majorBidi" w:cstheme="majorBidi"/>
          <w:sz w:val="24"/>
          <w:szCs w:val="24"/>
        </w:rPr>
        <w:t xml:space="preserve">large on an absolute scale.  </w:t>
      </w:r>
    </w:p>
    <w:p w14:paraId="753D014F" w14:textId="77777777" w:rsidR="00CF5883" w:rsidRDefault="00CF5883" w:rsidP="00E75255">
      <w:pPr>
        <w:jc w:val="both"/>
        <w:rPr>
          <w:rFonts w:asciiTheme="majorBidi" w:hAnsiTheme="majorBidi" w:cstheme="majorBidi"/>
          <w:sz w:val="24"/>
          <w:szCs w:val="24"/>
        </w:rPr>
      </w:pPr>
      <w:r w:rsidRPr="00CF5883">
        <w:rPr>
          <w:rFonts w:asciiTheme="majorBidi" w:hAnsiTheme="majorBidi" w:cstheme="majorBidi"/>
          <w:sz w:val="24"/>
          <w:szCs w:val="24"/>
        </w:rPr>
        <w:t>Fuel</w:t>
      </w:r>
      <w:r w:rsidR="005404D7">
        <w:rPr>
          <w:rFonts w:asciiTheme="majorBidi" w:hAnsiTheme="majorBidi" w:cstheme="majorBidi"/>
          <w:sz w:val="24"/>
          <w:szCs w:val="24"/>
        </w:rPr>
        <w:t xml:space="preserve"> economy/</w:t>
      </w:r>
      <w:r w:rsidRPr="00CF5883">
        <w:rPr>
          <w:rFonts w:asciiTheme="majorBidi" w:hAnsiTheme="majorBidi" w:cstheme="majorBidi"/>
          <w:sz w:val="24"/>
          <w:szCs w:val="24"/>
        </w:rPr>
        <w:t xml:space="preserve"> consumpti</w:t>
      </w:r>
      <w:r w:rsidR="005404D7">
        <w:rPr>
          <w:rFonts w:asciiTheme="majorBidi" w:hAnsiTheme="majorBidi" w:cstheme="majorBidi"/>
          <w:sz w:val="24"/>
          <w:szCs w:val="24"/>
        </w:rPr>
        <w:t>on of diesel LDVS had been lower than</w:t>
      </w:r>
      <w:r w:rsidRPr="00CF5883">
        <w:rPr>
          <w:rFonts w:asciiTheme="majorBidi" w:hAnsiTheme="majorBidi" w:cstheme="majorBidi"/>
          <w:sz w:val="24"/>
          <w:szCs w:val="24"/>
        </w:rPr>
        <w:t xml:space="preserve"> petrol</w:t>
      </w:r>
      <w:r w:rsidR="005404D7">
        <w:rPr>
          <w:rFonts w:asciiTheme="majorBidi" w:hAnsiTheme="majorBidi" w:cstheme="majorBidi"/>
          <w:sz w:val="24"/>
          <w:szCs w:val="24"/>
        </w:rPr>
        <w:t xml:space="preserve"> ones</w:t>
      </w:r>
      <w:r w:rsidR="001D2575">
        <w:rPr>
          <w:rFonts w:asciiTheme="majorBidi" w:hAnsiTheme="majorBidi" w:cstheme="majorBidi"/>
          <w:sz w:val="24"/>
          <w:szCs w:val="24"/>
        </w:rPr>
        <w:t xml:space="preserve"> for the entire reported years </w:t>
      </w:r>
      <w:r w:rsidRPr="00CF5883">
        <w:rPr>
          <w:rFonts w:asciiTheme="majorBidi" w:hAnsiTheme="majorBidi" w:cstheme="majorBidi"/>
          <w:sz w:val="24"/>
          <w:szCs w:val="24"/>
        </w:rPr>
        <w:t>despite the use of larger diesel LDVs with larger engine sizes</w:t>
      </w:r>
      <w:r w:rsidR="005404D7">
        <w:rPr>
          <w:rFonts w:asciiTheme="majorBidi" w:hAnsiTheme="majorBidi" w:cstheme="majorBidi"/>
          <w:sz w:val="24"/>
          <w:szCs w:val="24"/>
        </w:rPr>
        <w:t xml:space="preserve">. </w:t>
      </w:r>
      <w:r w:rsidR="00384F64">
        <w:rPr>
          <w:rFonts w:asciiTheme="majorBidi" w:hAnsiTheme="majorBidi" w:cstheme="majorBidi"/>
          <w:sz w:val="24"/>
          <w:szCs w:val="24"/>
        </w:rPr>
        <w:t>Generally</w:t>
      </w:r>
      <w:r w:rsidR="00816628">
        <w:rPr>
          <w:rFonts w:asciiTheme="majorBidi" w:hAnsiTheme="majorBidi" w:cstheme="majorBidi"/>
          <w:sz w:val="24"/>
          <w:szCs w:val="24"/>
        </w:rPr>
        <w:t>,</w:t>
      </w:r>
      <w:r w:rsidR="00384F64">
        <w:rPr>
          <w:rFonts w:asciiTheme="majorBidi" w:hAnsiTheme="majorBidi" w:cstheme="majorBidi"/>
          <w:sz w:val="24"/>
          <w:szCs w:val="24"/>
        </w:rPr>
        <w:t xml:space="preserve"> </w:t>
      </w:r>
      <w:r w:rsidRPr="00CF5883">
        <w:rPr>
          <w:rFonts w:asciiTheme="majorBidi" w:hAnsiTheme="majorBidi" w:cstheme="majorBidi"/>
          <w:sz w:val="24"/>
          <w:szCs w:val="24"/>
        </w:rPr>
        <w:t>diesel engines show better fuel consumption than petrol ones unless the characteristic is offset by vehicle features such as a much larger engine size or body weight.</w:t>
      </w:r>
      <w:r w:rsidR="00816628">
        <w:rPr>
          <w:rFonts w:asciiTheme="majorBidi" w:hAnsiTheme="majorBidi" w:cstheme="majorBidi"/>
          <w:sz w:val="24"/>
          <w:szCs w:val="24"/>
        </w:rPr>
        <w:t xml:space="preserve"> That  for all the study years 80-odd percent of the new LDVs sold were diesel-fuelled</w:t>
      </w:r>
      <w:r w:rsidR="000D09FC">
        <w:rPr>
          <w:rFonts w:asciiTheme="majorBidi" w:hAnsiTheme="majorBidi" w:cstheme="majorBidi"/>
          <w:sz w:val="24"/>
          <w:szCs w:val="24"/>
        </w:rPr>
        <w:t>,</w:t>
      </w:r>
      <w:r w:rsidRPr="00CF5883">
        <w:rPr>
          <w:rFonts w:asciiTheme="majorBidi" w:hAnsiTheme="majorBidi" w:cstheme="majorBidi"/>
          <w:sz w:val="24"/>
          <w:szCs w:val="24"/>
        </w:rPr>
        <w:t xml:space="preserve"> </w:t>
      </w:r>
      <w:r w:rsidR="00CD5623">
        <w:rPr>
          <w:rFonts w:asciiTheme="majorBidi" w:hAnsiTheme="majorBidi" w:cstheme="majorBidi"/>
          <w:sz w:val="24"/>
          <w:szCs w:val="24"/>
        </w:rPr>
        <w:t xml:space="preserve">which fielded better fuel </w:t>
      </w:r>
      <w:r w:rsidR="00816628">
        <w:rPr>
          <w:rFonts w:asciiTheme="majorBidi" w:hAnsiTheme="majorBidi" w:cstheme="majorBidi"/>
          <w:sz w:val="24"/>
          <w:szCs w:val="24"/>
        </w:rPr>
        <w:t xml:space="preserve">economy/consumption than petrol ones despite having larger engine sizes, has had a desirable impact on </w:t>
      </w:r>
      <w:r w:rsidR="004B2C61">
        <w:rPr>
          <w:rFonts w:asciiTheme="majorBidi" w:hAnsiTheme="majorBidi" w:cstheme="majorBidi"/>
          <w:sz w:val="24"/>
          <w:szCs w:val="24"/>
        </w:rPr>
        <w:t xml:space="preserve">the overall </w:t>
      </w:r>
      <w:r w:rsidR="00CD5623">
        <w:rPr>
          <w:rFonts w:asciiTheme="majorBidi" w:hAnsiTheme="majorBidi" w:cstheme="majorBidi"/>
          <w:sz w:val="24"/>
          <w:szCs w:val="24"/>
        </w:rPr>
        <w:t>fuel economy/consumption</w:t>
      </w:r>
      <w:r w:rsidR="00816628">
        <w:rPr>
          <w:rFonts w:asciiTheme="majorBidi" w:hAnsiTheme="majorBidi" w:cstheme="majorBidi"/>
          <w:sz w:val="24"/>
          <w:szCs w:val="24"/>
        </w:rPr>
        <w:t>.</w:t>
      </w:r>
      <w:r w:rsidR="00CD5623">
        <w:rPr>
          <w:rFonts w:asciiTheme="majorBidi" w:hAnsiTheme="majorBidi" w:cstheme="majorBidi"/>
          <w:sz w:val="24"/>
          <w:szCs w:val="24"/>
        </w:rPr>
        <w:t xml:space="preserve"> </w:t>
      </w:r>
      <w:r w:rsidR="00AE3A15">
        <w:rPr>
          <w:rFonts w:asciiTheme="majorBidi" w:hAnsiTheme="majorBidi" w:cstheme="majorBidi"/>
          <w:sz w:val="24"/>
          <w:szCs w:val="24"/>
        </w:rPr>
        <w:t>Diesel LDVs</w:t>
      </w:r>
      <w:r w:rsidR="008815BC">
        <w:rPr>
          <w:rFonts w:asciiTheme="majorBidi" w:hAnsiTheme="majorBidi" w:cstheme="majorBidi"/>
          <w:sz w:val="24"/>
          <w:szCs w:val="24"/>
        </w:rPr>
        <w:t xml:space="preserve"> </w:t>
      </w:r>
      <w:r w:rsidR="00AE3A15">
        <w:rPr>
          <w:rFonts w:asciiTheme="majorBidi" w:hAnsiTheme="majorBidi" w:cstheme="majorBidi"/>
          <w:sz w:val="24"/>
          <w:szCs w:val="24"/>
        </w:rPr>
        <w:t>weighted average co</w:t>
      </w:r>
      <w:r w:rsidR="00AE3A15">
        <w:rPr>
          <w:rFonts w:asciiTheme="majorBidi" w:hAnsiTheme="majorBidi" w:cstheme="majorBidi"/>
          <w:sz w:val="24"/>
          <w:szCs w:val="24"/>
          <w:vertAlign w:val="subscript"/>
        </w:rPr>
        <w:t xml:space="preserve">2 </w:t>
      </w:r>
      <w:r w:rsidR="00AE3A15">
        <w:rPr>
          <w:rFonts w:asciiTheme="majorBidi" w:hAnsiTheme="majorBidi" w:cstheme="majorBidi"/>
          <w:sz w:val="24"/>
          <w:szCs w:val="24"/>
        </w:rPr>
        <w:t xml:space="preserve">emissions were consistently lower than petrol ones. </w:t>
      </w:r>
      <w:r w:rsidR="00816628" w:rsidRPr="00AE3A15">
        <w:rPr>
          <w:rFonts w:asciiTheme="majorBidi" w:hAnsiTheme="majorBidi" w:cstheme="majorBidi"/>
          <w:sz w:val="24"/>
          <w:szCs w:val="24"/>
        </w:rPr>
        <w:t>That</w:t>
      </w:r>
      <w:r w:rsidR="00816628">
        <w:rPr>
          <w:rFonts w:asciiTheme="majorBidi" w:hAnsiTheme="majorBidi" w:cstheme="majorBidi"/>
          <w:sz w:val="24"/>
          <w:szCs w:val="24"/>
        </w:rPr>
        <w:t xml:space="preserve"> </w:t>
      </w:r>
      <w:r w:rsidR="00CD5623">
        <w:rPr>
          <w:rFonts w:asciiTheme="majorBidi" w:hAnsiTheme="majorBidi" w:cstheme="majorBidi"/>
          <w:sz w:val="24"/>
          <w:szCs w:val="24"/>
        </w:rPr>
        <w:t>wa</w:t>
      </w:r>
      <w:r w:rsidR="004B2C61">
        <w:rPr>
          <w:rFonts w:asciiTheme="majorBidi" w:hAnsiTheme="majorBidi" w:cstheme="majorBidi"/>
          <w:sz w:val="24"/>
          <w:szCs w:val="24"/>
        </w:rPr>
        <w:t>s not the case for Tunisia where diesel LDVs emissions had always been higher than petrol</w:t>
      </w:r>
      <w:r w:rsidR="00CA0222">
        <w:rPr>
          <w:rFonts w:asciiTheme="majorBidi" w:hAnsiTheme="majorBidi" w:cstheme="majorBidi"/>
          <w:sz w:val="24"/>
          <w:szCs w:val="24"/>
        </w:rPr>
        <w:t>. This is because the high level of fuel-efficiency consciousness</w:t>
      </w:r>
      <w:r w:rsidR="006C0209">
        <w:rPr>
          <w:rFonts w:asciiTheme="majorBidi" w:hAnsiTheme="majorBidi" w:cstheme="majorBidi"/>
          <w:sz w:val="24"/>
          <w:szCs w:val="24"/>
        </w:rPr>
        <w:t xml:space="preserve"> in Morocco</w:t>
      </w:r>
      <w:r w:rsidR="00CA0222">
        <w:rPr>
          <w:rFonts w:asciiTheme="majorBidi" w:hAnsiTheme="majorBidi" w:cstheme="majorBidi"/>
          <w:sz w:val="24"/>
          <w:szCs w:val="24"/>
        </w:rPr>
        <w:t xml:space="preserve"> promotes the use of diesel vehicles in economic and ordinary market segments. For Tunisia, apart of commercial vehicles</w:t>
      </w:r>
      <w:r w:rsidR="006C0209">
        <w:rPr>
          <w:rFonts w:asciiTheme="majorBidi" w:hAnsiTheme="majorBidi" w:cstheme="majorBidi"/>
          <w:sz w:val="24"/>
          <w:szCs w:val="24"/>
        </w:rPr>
        <w:t>, diesel LDVs sales were mostly for luxurious vehicles with high co</w:t>
      </w:r>
      <w:r w:rsidR="006C0209">
        <w:rPr>
          <w:rFonts w:asciiTheme="majorBidi" w:hAnsiTheme="majorBidi" w:cstheme="majorBidi"/>
          <w:sz w:val="24"/>
          <w:szCs w:val="24"/>
          <w:vertAlign w:val="subscript"/>
        </w:rPr>
        <w:t>2</w:t>
      </w:r>
      <w:r w:rsidR="006C0209">
        <w:rPr>
          <w:rFonts w:asciiTheme="majorBidi" w:hAnsiTheme="majorBidi" w:cstheme="majorBidi"/>
          <w:sz w:val="24"/>
          <w:szCs w:val="24"/>
        </w:rPr>
        <w:t xml:space="preserve"> emissions levels</w:t>
      </w:r>
      <w:r w:rsidR="00E72194">
        <w:rPr>
          <w:rFonts w:asciiTheme="majorBidi" w:hAnsiTheme="majorBidi" w:cstheme="majorBidi"/>
          <w:sz w:val="24"/>
          <w:szCs w:val="24"/>
        </w:rPr>
        <w:t xml:space="preserve"> causing the co</w:t>
      </w:r>
      <w:r w:rsidR="00E72194">
        <w:rPr>
          <w:rFonts w:asciiTheme="majorBidi" w:hAnsiTheme="majorBidi" w:cstheme="majorBidi"/>
          <w:sz w:val="24"/>
          <w:szCs w:val="24"/>
          <w:vertAlign w:val="subscript"/>
        </w:rPr>
        <w:t>2</w:t>
      </w:r>
      <w:r w:rsidR="00E72194">
        <w:rPr>
          <w:rFonts w:asciiTheme="majorBidi" w:hAnsiTheme="majorBidi" w:cstheme="majorBidi"/>
          <w:sz w:val="24"/>
          <w:szCs w:val="24"/>
        </w:rPr>
        <w:t xml:space="preserve"> emissions of diesel LDVs to be hig</w:t>
      </w:r>
      <w:r w:rsidR="006F3A40">
        <w:rPr>
          <w:rFonts w:asciiTheme="majorBidi" w:hAnsiTheme="majorBidi" w:cstheme="majorBidi"/>
          <w:sz w:val="24"/>
          <w:szCs w:val="24"/>
        </w:rPr>
        <w:t>her than those of</w:t>
      </w:r>
      <w:r w:rsidR="00D708F4">
        <w:rPr>
          <w:rFonts w:asciiTheme="majorBidi" w:hAnsiTheme="majorBidi" w:cstheme="majorBidi"/>
          <w:sz w:val="24"/>
          <w:szCs w:val="24"/>
        </w:rPr>
        <w:t xml:space="preserve"> petrol ones</w:t>
      </w:r>
      <w:r w:rsidR="00E72194">
        <w:rPr>
          <w:rFonts w:asciiTheme="majorBidi" w:hAnsiTheme="majorBidi" w:cstheme="majorBidi"/>
          <w:sz w:val="24"/>
          <w:szCs w:val="24"/>
        </w:rPr>
        <w:t xml:space="preserve"> </w:t>
      </w:r>
      <w:r w:rsidR="006C0209">
        <w:rPr>
          <w:rFonts w:asciiTheme="majorBidi" w:hAnsiTheme="majorBidi" w:cstheme="majorBidi"/>
          <w:sz w:val="24"/>
          <w:szCs w:val="24"/>
        </w:rPr>
        <w:t>.</w:t>
      </w:r>
    </w:p>
    <w:p w14:paraId="40681A0D" w14:textId="77777777" w:rsidR="00CD447E" w:rsidRDefault="004D4F64" w:rsidP="00E75255">
      <w:pPr>
        <w:jc w:val="both"/>
        <w:rPr>
          <w:rFonts w:asciiTheme="majorBidi" w:hAnsiTheme="majorBidi" w:cstheme="majorBidi"/>
          <w:sz w:val="24"/>
          <w:szCs w:val="24"/>
        </w:rPr>
      </w:pPr>
      <w:r>
        <w:rPr>
          <w:rFonts w:asciiTheme="majorBidi" w:hAnsiTheme="majorBidi" w:cstheme="majorBidi"/>
          <w:sz w:val="24"/>
          <w:szCs w:val="24"/>
        </w:rPr>
        <w:t>Weighted average co</w:t>
      </w:r>
      <w:r>
        <w:rPr>
          <w:rFonts w:asciiTheme="majorBidi" w:hAnsiTheme="majorBidi" w:cstheme="majorBidi"/>
          <w:sz w:val="24"/>
          <w:szCs w:val="24"/>
          <w:vertAlign w:val="subscript"/>
        </w:rPr>
        <w:t>2</w:t>
      </w:r>
      <w:r>
        <w:rPr>
          <w:rFonts w:asciiTheme="majorBidi" w:hAnsiTheme="majorBidi" w:cstheme="majorBidi"/>
          <w:sz w:val="24"/>
          <w:szCs w:val="24"/>
        </w:rPr>
        <w:t xml:space="preserve"> emissions</w:t>
      </w:r>
      <w:r w:rsidR="00F94E89">
        <w:rPr>
          <w:rFonts w:asciiTheme="majorBidi" w:hAnsiTheme="majorBidi" w:cstheme="majorBidi"/>
          <w:sz w:val="24"/>
          <w:szCs w:val="24"/>
        </w:rPr>
        <w:t xml:space="preserve"> for new diesel LDVs</w:t>
      </w:r>
      <w:r w:rsidR="006F3A40">
        <w:rPr>
          <w:rFonts w:asciiTheme="majorBidi" w:hAnsiTheme="majorBidi" w:cstheme="majorBidi"/>
          <w:sz w:val="24"/>
          <w:szCs w:val="24"/>
        </w:rPr>
        <w:t xml:space="preserve"> was higher</w:t>
      </w:r>
      <w:r>
        <w:rPr>
          <w:rFonts w:asciiTheme="majorBidi" w:hAnsiTheme="majorBidi" w:cstheme="majorBidi"/>
          <w:sz w:val="24"/>
          <w:szCs w:val="24"/>
        </w:rPr>
        <w:t xml:space="preserve"> than unweigh</w:t>
      </w:r>
      <w:r w:rsidR="00F94E89">
        <w:rPr>
          <w:rFonts w:asciiTheme="majorBidi" w:hAnsiTheme="majorBidi" w:cstheme="majorBidi"/>
          <w:sz w:val="24"/>
          <w:szCs w:val="24"/>
        </w:rPr>
        <w:t xml:space="preserve">t average for 2009. In 2012, </w:t>
      </w:r>
      <w:r>
        <w:rPr>
          <w:rFonts w:asciiTheme="majorBidi" w:hAnsiTheme="majorBidi" w:cstheme="majorBidi"/>
          <w:sz w:val="24"/>
          <w:szCs w:val="24"/>
        </w:rPr>
        <w:t xml:space="preserve">the weighted average overtook the unweight </w:t>
      </w:r>
      <w:r w:rsidR="000D1213">
        <w:rPr>
          <w:rFonts w:asciiTheme="majorBidi" w:hAnsiTheme="majorBidi" w:cstheme="majorBidi"/>
          <w:sz w:val="24"/>
          <w:szCs w:val="24"/>
        </w:rPr>
        <w:t>average,</w:t>
      </w:r>
      <w:r w:rsidR="006F3A40">
        <w:rPr>
          <w:rFonts w:asciiTheme="majorBidi" w:hAnsiTheme="majorBidi" w:cstheme="majorBidi"/>
          <w:sz w:val="24"/>
          <w:szCs w:val="24"/>
        </w:rPr>
        <w:t xml:space="preserve"> whereas in 2013 it went below the unweight average</w:t>
      </w:r>
      <w:r w:rsidR="00F94E89">
        <w:rPr>
          <w:rFonts w:asciiTheme="majorBidi" w:hAnsiTheme="majorBidi" w:cstheme="majorBidi"/>
          <w:sz w:val="24"/>
          <w:szCs w:val="24"/>
        </w:rPr>
        <w:t>. In 2009 there were less diversity of marketed models and variants</w:t>
      </w:r>
      <w:r w:rsidR="00250D65">
        <w:rPr>
          <w:rFonts w:asciiTheme="majorBidi" w:hAnsiTheme="majorBidi" w:cstheme="majorBidi"/>
          <w:sz w:val="24"/>
          <w:szCs w:val="24"/>
        </w:rPr>
        <w:t xml:space="preserve"> and</w:t>
      </w:r>
      <w:r w:rsidR="00F94E89">
        <w:rPr>
          <w:rFonts w:asciiTheme="majorBidi" w:hAnsiTheme="majorBidi" w:cstheme="majorBidi"/>
          <w:sz w:val="24"/>
          <w:szCs w:val="24"/>
        </w:rPr>
        <w:t xml:space="preserve"> the largest sales volumes were for energy efficient vehicles</w:t>
      </w:r>
      <w:r w:rsidR="00BB20A4">
        <w:rPr>
          <w:rFonts w:asciiTheme="majorBidi" w:hAnsiTheme="majorBidi" w:cstheme="majorBidi"/>
          <w:sz w:val="24"/>
          <w:szCs w:val="24"/>
        </w:rPr>
        <w:t>-</w:t>
      </w:r>
      <w:r w:rsidR="00B47AC7">
        <w:rPr>
          <w:rFonts w:asciiTheme="majorBidi" w:hAnsiTheme="majorBidi" w:cstheme="majorBidi"/>
          <w:sz w:val="24"/>
          <w:szCs w:val="24"/>
        </w:rPr>
        <w:t xml:space="preserve"> with considerable sales volumes for brands with high emission levels. Apparently, </w:t>
      </w:r>
      <w:r w:rsidR="00914C09">
        <w:rPr>
          <w:rFonts w:asciiTheme="majorBidi" w:hAnsiTheme="majorBidi" w:cstheme="majorBidi"/>
          <w:sz w:val="24"/>
          <w:szCs w:val="24"/>
        </w:rPr>
        <w:t xml:space="preserve">the slashing of tariffs on European </w:t>
      </w:r>
      <w:r w:rsidR="0095638A">
        <w:rPr>
          <w:rFonts w:asciiTheme="majorBidi" w:hAnsiTheme="majorBidi" w:cstheme="majorBidi"/>
          <w:sz w:val="24"/>
          <w:szCs w:val="24"/>
        </w:rPr>
        <w:t>vehicles increased</w:t>
      </w:r>
      <w:r w:rsidR="00914C09">
        <w:rPr>
          <w:rFonts w:asciiTheme="majorBidi" w:hAnsiTheme="majorBidi" w:cstheme="majorBidi"/>
          <w:sz w:val="24"/>
          <w:szCs w:val="24"/>
        </w:rPr>
        <w:t xml:space="preserve"> the diversity in the marke</w:t>
      </w:r>
      <w:r w:rsidR="006F3A40">
        <w:rPr>
          <w:rFonts w:asciiTheme="majorBidi" w:hAnsiTheme="majorBidi" w:cstheme="majorBidi"/>
          <w:sz w:val="24"/>
          <w:szCs w:val="24"/>
        </w:rPr>
        <w:t xml:space="preserve">t </w:t>
      </w:r>
      <w:r w:rsidR="00FF3F2B">
        <w:rPr>
          <w:rFonts w:asciiTheme="majorBidi" w:hAnsiTheme="majorBidi" w:cstheme="majorBidi"/>
          <w:sz w:val="24"/>
          <w:szCs w:val="24"/>
        </w:rPr>
        <w:t>exhort</w:t>
      </w:r>
      <w:r w:rsidR="006F3A40">
        <w:rPr>
          <w:rFonts w:asciiTheme="majorBidi" w:hAnsiTheme="majorBidi" w:cstheme="majorBidi"/>
          <w:sz w:val="24"/>
          <w:szCs w:val="24"/>
        </w:rPr>
        <w:t>ing the purchase of luxurious vehicles</w:t>
      </w:r>
      <w:r w:rsidR="0095638A">
        <w:rPr>
          <w:rFonts w:asciiTheme="majorBidi" w:hAnsiTheme="majorBidi" w:cstheme="majorBidi"/>
          <w:sz w:val="24"/>
          <w:szCs w:val="24"/>
        </w:rPr>
        <w:t>.</w:t>
      </w:r>
      <w:r w:rsidR="00914C09">
        <w:rPr>
          <w:rFonts w:asciiTheme="majorBidi" w:hAnsiTheme="majorBidi" w:cstheme="majorBidi"/>
          <w:sz w:val="24"/>
          <w:szCs w:val="24"/>
        </w:rPr>
        <w:t xml:space="preserve"> </w:t>
      </w:r>
    </w:p>
    <w:p w14:paraId="74BC435B" w14:textId="77777777" w:rsidR="00B82523" w:rsidRDefault="00CD447E" w:rsidP="00E75255">
      <w:pPr>
        <w:jc w:val="both"/>
        <w:rPr>
          <w:rFonts w:asciiTheme="majorBidi" w:hAnsiTheme="majorBidi" w:cstheme="majorBidi"/>
          <w:sz w:val="24"/>
          <w:szCs w:val="24"/>
        </w:rPr>
      </w:pPr>
      <w:r>
        <w:rPr>
          <w:rFonts w:asciiTheme="majorBidi" w:hAnsiTheme="majorBidi" w:cstheme="majorBidi"/>
          <w:sz w:val="24"/>
          <w:szCs w:val="24"/>
        </w:rPr>
        <w:t>The abovemention</w:t>
      </w:r>
      <w:r w:rsidR="00BF242D">
        <w:rPr>
          <w:rFonts w:asciiTheme="majorBidi" w:hAnsiTheme="majorBidi" w:cstheme="majorBidi"/>
          <w:sz w:val="24"/>
          <w:szCs w:val="24"/>
        </w:rPr>
        <w:t>ed pattern took a different twist</w:t>
      </w:r>
      <w:r>
        <w:rPr>
          <w:rFonts w:asciiTheme="majorBidi" w:hAnsiTheme="majorBidi" w:cstheme="majorBidi"/>
          <w:sz w:val="24"/>
          <w:szCs w:val="24"/>
        </w:rPr>
        <w:t xml:space="preserve"> for </w:t>
      </w:r>
      <w:r w:rsidR="00BF242D">
        <w:rPr>
          <w:rFonts w:asciiTheme="majorBidi" w:hAnsiTheme="majorBidi" w:cstheme="majorBidi"/>
          <w:sz w:val="24"/>
          <w:szCs w:val="24"/>
        </w:rPr>
        <w:t>petrol LDVs</w:t>
      </w:r>
      <w:r w:rsidR="00CD4F1B">
        <w:rPr>
          <w:rFonts w:asciiTheme="majorBidi" w:hAnsiTheme="majorBidi" w:cstheme="majorBidi"/>
          <w:sz w:val="24"/>
          <w:szCs w:val="24"/>
        </w:rPr>
        <w:t>,</w:t>
      </w:r>
      <w:r w:rsidR="00F5303D">
        <w:rPr>
          <w:rFonts w:asciiTheme="majorBidi" w:hAnsiTheme="majorBidi" w:cstheme="majorBidi"/>
          <w:sz w:val="24"/>
          <w:szCs w:val="24"/>
        </w:rPr>
        <w:t xml:space="preserve"> for weighted average LDVs co</w:t>
      </w:r>
      <w:r w:rsidR="00F5303D">
        <w:rPr>
          <w:rFonts w:asciiTheme="majorBidi" w:hAnsiTheme="majorBidi" w:cstheme="majorBidi"/>
          <w:sz w:val="24"/>
          <w:szCs w:val="24"/>
          <w:vertAlign w:val="subscript"/>
        </w:rPr>
        <w:t>2</w:t>
      </w:r>
      <w:r w:rsidR="00F5303D">
        <w:rPr>
          <w:rFonts w:asciiTheme="majorBidi" w:hAnsiTheme="majorBidi" w:cstheme="majorBidi"/>
          <w:sz w:val="24"/>
          <w:szCs w:val="24"/>
        </w:rPr>
        <w:t xml:space="preserve"> emissions</w:t>
      </w:r>
      <w:r w:rsidR="006F3A40">
        <w:rPr>
          <w:rFonts w:asciiTheme="majorBidi" w:hAnsiTheme="majorBidi" w:cstheme="majorBidi"/>
          <w:sz w:val="24"/>
          <w:szCs w:val="24"/>
        </w:rPr>
        <w:t xml:space="preserve"> were </w:t>
      </w:r>
      <w:r w:rsidR="00250D65">
        <w:rPr>
          <w:rFonts w:asciiTheme="majorBidi" w:hAnsiTheme="majorBidi" w:cstheme="majorBidi"/>
          <w:sz w:val="24"/>
          <w:szCs w:val="24"/>
        </w:rPr>
        <w:t>lower</w:t>
      </w:r>
      <w:r w:rsidR="00CD4F1B">
        <w:rPr>
          <w:rFonts w:asciiTheme="majorBidi" w:hAnsiTheme="majorBidi" w:cstheme="majorBidi"/>
          <w:sz w:val="24"/>
          <w:szCs w:val="24"/>
        </w:rPr>
        <w:t xml:space="preserve"> than average emissions in 2009. As of 2012, weighted average </w:t>
      </w:r>
      <w:r w:rsidR="000D09FC">
        <w:rPr>
          <w:rFonts w:asciiTheme="majorBidi" w:hAnsiTheme="majorBidi" w:cstheme="majorBidi"/>
          <w:sz w:val="24"/>
          <w:szCs w:val="24"/>
        </w:rPr>
        <w:t xml:space="preserve">had </w:t>
      </w:r>
      <w:r w:rsidR="00250D65">
        <w:rPr>
          <w:rFonts w:asciiTheme="majorBidi" w:hAnsiTheme="majorBidi" w:cstheme="majorBidi"/>
          <w:sz w:val="24"/>
          <w:szCs w:val="24"/>
        </w:rPr>
        <w:t>dropped below the average ones</w:t>
      </w:r>
      <w:r w:rsidR="006E5699">
        <w:rPr>
          <w:rFonts w:asciiTheme="majorBidi" w:hAnsiTheme="majorBidi" w:cstheme="majorBidi"/>
          <w:sz w:val="24"/>
          <w:szCs w:val="24"/>
        </w:rPr>
        <w:t>. An explanation that</w:t>
      </w:r>
      <w:r w:rsidR="000D1213">
        <w:rPr>
          <w:rFonts w:asciiTheme="majorBidi" w:hAnsiTheme="majorBidi" w:cstheme="majorBidi"/>
          <w:sz w:val="24"/>
          <w:szCs w:val="24"/>
        </w:rPr>
        <w:t xml:space="preserve"> could be summoned to explain </w:t>
      </w:r>
      <w:r w:rsidR="006E5699">
        <w:rPr>
          <w:rFonts w:asciiTheme="majorBidi" w:hAnsiTheme="majorBidi" w:cstheme="majorBidi"/>
          <w:sz w:val="24"/>
          <w:szCs w:val="24"/>
        </w:rPr>
        <w:t>the</w:t>
      </w:r>
      <w:r w:rsidR="000D1213">
        <w:rPr>
          <w:rFonts w:asciiTheme="majorBidi" w:hAnsiTheme="majorBidi" w:cstheme="majorBidi"/>
          <w:sz w:val="24"/>
          <w:szCs w:val="24"/>
        </w:rPr>
        <w:t xml:space="preserve"> opposing</w:t>
      </w:r>
      <w:r w:rsidR="006E5699">
        <w:rPr>
          <w:rFonts w:asciiTheme="majorBidi" w:hAnsiTheme="majorBidi" w:cstheme="majorBidi"/>
          <w:sz w:val="24"/>
          <w:szCs w:val="24"/>
        </w:rPr>
        <w:t xml:space="preserve"> trend</w:t>
      </w:r>
      <w:r w:rsidR="004669BA">
        <w:rPr>
          <w:rFonts w:asciiTheme="majorBidi" w:hAnsiTheme="majorBidi" w:cstheme="majorBidi"/>
          <w:sz w:val="24"/>
          <w:szCs w:val="24"/>
        </w:rPr>
        <w:t>s in 2009</w:t>
      </w:r>
      <w:r w:rsidR="006E5699">
        <w:rPr>
          <w:rFonts w:asciiTheme="majorBidi" w:hAnsiTheme="majorBidi" w:cstheme="majorBidi"/>
          <w:sz w:val="24"/>
          <w:szCs w:val="24"/>
        </w:rPr>
        <w:t xml:space="preserve"> might be related to gender preferences. The bulk of the Moroccan market comprises diesel LDVs which is preferred by men who cover higher commute distances</w:t>
      </w:r>
      <w:r w:rsidR="000D1213">
        <w:rPr>
          <w:rFonts w:asciiTheme="majorBidi" w:hAnsiTheme="majorBidi" w:cstheme="majorBidi"/>
          <w:sz w:val="24"/>
          <w:szCs w:val="24"/>
        </w:rPr>
        <w:t xml:space="preserve"> and hence fuel economy considerations come to the fore. Alas</w:t>
      </w:r>
      <w:r w:rsidR="006E5699">
        <w:rPr>
          <w:rFonts w:asciiTheme="majorBidi" w:hAnsiTheme="majorBidi" w:cstheme="majorBidi"/>
          <w:sz w:val="24"/>
          <w:szCs w:val="24"/>
        </w:rPr>
        <w:t>,</w:t>
      </w:r>
      <w:r w:rsidR="000D1213">
        <w:rPr>
          <w:rFonts w:asciiTheme="majorBidi" w:hAnsiTheme="majorBidi" w:cstheme="majorBidi"/>
          <w:sz w:val="24"/>
          <w:szCs w:val="24"/>
        </w:rPr>
        <w:t xml:space="preserve"> as of 2012 the trend mounted a course of reversal for both petrol and diesel LDVs since with</w:t>
      </w:r>
      <w:r w:rsidR="006E5699">
        <w:rPr>
          <w:rFonts w:asciiTheme="majorBidi" w:hAnsiTheme="majorBidi" w:cstheme="majorBidi"/>
          <w:sz w:val="24"/>
          <w:szCs w:val="24"/>
        </w:rPr>
        <w:t xml:space="preserve"> the increasing diversity </w:t>
      </w:r>
      <w:r w:rsidR="00CA0325">
        <w:rPr>
          <w:rFonts w:asciiTheme="majorBidi" w:hAnsiTheme="majorBidi" w:cstheme="majorBidi"/>
          <w:sz w:val="24"/>
          <w:szCs w:val="24"/>
        </w:rPr>
        <w:t>there</w:t>
      </w:r>
      <w:r w:rsidR="000D1213">
        <w:rPr>
          <w:rFonts w:asciiTheme="majorBidi" w:hAnsiTheme="majorBidi" w:cstheme="majorBidi"/>
          <w:sz w:val="24"/>
          <w:szCs w:val="24"/>
        </w:rPr>
        <w:t xml:space="preserve"> has</w:t>
      </w:r>
      <w:r w:rsidR="00085D2A">
        <w:rPr>
          <w:rFonts w:asciiTheme="majorBidi" w:hAnsiTheme="majorBidi" w:cstheme="majorBidi"/>
          <w:sz w:val="24"/>
          <w:szCs w:val="24"/>
        </w:rPr>
        <w:t xml:space="preserve"> been a wider variety of the comparatively less efficient luxury cars, which sales wi</w:t>
      </w:r>
      <w:r w:rsidR="000D1213">
        <w:rPr>
          <w:rFonts w:asciiTheme="majorBidi" w:hAnsiTheme="majorBidi" w:cstheme="majorBidi"/>
          <w:sz w:val="24"/>
          <w:szCs w:val="24"/>
        </w:rPr>
        <w:t>tnessed an increase as of 2012</w:t>
      </w:r>
      <w:r w:rsidR="00DA731F">
        <w:rPr>
          <w:rFonts w:asciiTheme="majorBidi" w:hAnsiTheme="majorBidi" w:cstheme="majorBidi"/>
          <w:sz w:val="24"/>
          <w:szCs w:val="24"/>
        </w:rPr>
        <w:t>, trumping fuel efficiency considerations</w:t>
      </w:r>
      <w:r w:rsidR="000D1213">
        <w:rPr>
          <w:rFonts w:asciiTheme="majorBidi" w:hAnsiTheme="majorBidi" w:cstheme="majorBidi"/>
          <w:sz w:val="24"/>
          <w:szCs w:val="24"/>
        </w:rPr>
        <w:t xml:space="preserve">. </w:t>
      </w:r>
      <w:r w:rsidR="000D09FC">
        <w:rPr>
          <w:rFonts w:asciiTheme="majorBidi" w:hAnsiTheme="majorBidi" w:cstheme="majorBidi"/>
          <w:sz w:val="24"/>
          <w:szCs w:val="24"/>
        </w:rPr>
        <w:t xml:space="preserve">A room therefore exists for improving on the </w:t>
      </w:r>
      <w:r w:rsidR="004669BA">
        <w:rPr>
          <w:rFonts w:asciiTheme="majorBidi" w:hAnsiTheme="majorBidi" w:cstheme="majorBidi"/>
          <w:sz w:val="24"/>
          <w:szCs w:val="24"/>
        </w:rPr>
        <w:t xml:space="preserve">fuel consumption/economy for both petrol and diesel LDVs by bringing </w:t>
      </w:r>
      <w:r w:rsidR="007B4FE7">
        <w:rPr>
          <w:rFonts w:asciiTheme="majorBidi" w:hAnsiTheme="majorBidi" w:cstheme="majorBidi"/>
          <w:sz w:val="24"/>
          <w:szCs w:val="24"/>
        </w:rPr>
        <w:t>the weighted</w:t>
      </w:r>
      <w:r w:rsidR="00DD45B9">
        <w:rPr>
          <w:rFonts w:asciiTheme="majorBidi" w:hAnsiTheme="majorBidi" w:cstheme="majorBidi"/>
          <w:sz w:val="24"/>
          <w:szCs w:val="24"/>
        </w:rPr>
        <w:t xml:space="preserve"> average curve</w:t>
      </w:r>
      <w:r w:rsidR="004669BA">
        <w:rPr>
          <w:rFonts w:asciiTheme="majorBidi" w:hAnsiTheme="majorBidi" w:cstheme="majorBidi"/>
          <w:sz w:val="24"/>
          <w:szCs w:val="24"/>
        </w:rPr>
        <w:t xml:space="preserve"> and unweight</w:t>
      </w:r>
      <w:r w:rsidR="00DD45B9">
        <w:rPr>
          <w:rFonts w:asciiTheme="majorBidi" w:hAnsiTheme="majorBidi" w:cstheme="majorBidi"/>
          <w:sz w:val="24"/>
          <w:szCs w:val="24"/>
        </w:rPr>
        <w:t xml:space="preserve"> one</w:t>
      </w:r>
      <w:r w:rsidR="004669BA">
        <w:rPr>
          <w:rFonts w:asciiTheme="majorBidi" w:hAnsiTheme="majorBidi" w:cstheme="majorBidi"/>
          <w:sz w:val="24"/>
          <w:szCs w:val="24"/>
        </w:rPr>
        <w:t xml:space="preserve"> closer to each</w:t>
      </w:r>
      <w:r w:rsidR="00DD45B9">
        <w:rPr>
          <w:rFonts w:asciiTheme="majorBidi" w:hAnsiTheme="majorBidi" w:cstheme="majorBidi"/>
          <w:sz w:val="24"/>
          <w:szCs w:val="24"/>
        </w:rPr>
        <w:t xml:space="preserve"> </w:t>
      </w:r>
      <w:r w:rsidR="004669BA">
        <w:rPr>
          <w:rFonts w:asciiTheme="majorBidi" w:hAnsiTheme="majorBidi" w:cstheme="majorBidi"/>
          <w:sz w:val="24"/>
          <w:szCs w:val="24"/>
        </w:rPr>
        <w:t>other.</w:t>
      </w:r>
      <w:r w:rsidR="00DD45B9">
        <w:rPr>
          <w:rFonts w:asciiTheme="majorBidi" w:hAnsiTheme="majorBidi" w:cstheme="majorBidi"/>
          <w:sz w:val="24"/>
          <w:szCs w:val="24"/>
        </w:rPr>
        <w:t xml:space="preserve">   </w:t>
      </w:r>
    </w:p>
    <w:p w14:paraId="7570E3B4" w14:textId="77777777" w:rsidR="000D09FC" w:rsidRDefault="000D09FC" w:rsidP="00E75255">
      <w:pPr>
        <w:jc w:val="both"/>
        <w:rPr>
          <w:rFonts w:asciiTheme="majorBidi" w:hAnsiTheme="majorBidi" w:cstheme="majorBidi"/>
          <w:b/>
          <w:bCs/>
          <w:i/>
          <w:iCs/>
          <w:sz w:val="24"/>
          <w:szCs w:val="24"/>
        </w:rPr>
      </w:pPr>
      <w:r w:rsidRPr="000D09FC">
        <w:rPr>
          <w:rFonts w:asciiTheme="majorBidi" w:hAnsiTheme="majorBidi" w:cstheme="majorBidi"/>
          <w:b/>
          <w:bCs/>
          <w:i/>
          <w:iCs/>
          <w:sz w:val="24"/>
          <w:szCs w:val="24"/>
        </w:rPr>
        <w:lastRenderedPageBreak/>
        <w:t>Year 2009</w:t>
      </w:r>
    </w:p>
    <w:p w14:paraId="06DC7518" w14:textId="77777777" w:rsidR="000D09FC" w:rsidRDefault="008E1D8E" w:rsidP="00E75255">
      <w:pPr>
        <w:jc w:val="both"/>
        <w:rPr>
          <w:rFonts w:asciiTheme="majorBidi" w:hAnsiTheme="majorBidi" w:cstheme="majorBidi"/>
          <w:sz w:val="24"/>
          <w:szCs w:val="24"/>
        </w:rPr>
      </w:pPr>
      <w:r>
        <w:rPr>
          <w:rFonts w:asciiTheme="majorBidi" w:hAnsiTheme="majorBidi" w:cstheme="majorBidi"/>
          <w:sz w:val="24"/>
          <w:szCs w:val="24"/>
        </w:rPr>
        <w:t>For petrol LDVs, Hyun</w:t>
      </w:r>
      <w:r w:rsidR="000D09FC" w:rsidRPr="001D2575">
        <w:rPr>
          <w:rFonts w:asciiTheme="majorBidi" w:hAnsiTheme="majorBidi" w:cstheme="majorBidi"/>
          <w:sz w:val="24"/>
          <w:szCs w:val="24"/>
        </w:rPr>
        <w:t>dai</w:t>
      </w:r>
      <w:r w:rsidR="001D2575" w:rsidRPr="001D2575">
        <w:rPr>
          <w:rFonts w:asciiTheme="majorBidi" w:hAnsiTheme="majorBidi" w:cstheme="majorBidi"/>
          <w:sz w:val="24"/>
          <w:szCs w:val="24"/>
        </w:rPr>
        <w:t xml:space="preserve"> I10,</w:t>
      </w:r>
      <w:r w:rsidR="00851EA6">
        <w:rPr>
          <w:rFonts w:asciiTheme="majorBidi" w:hAnsiTheme="majorBidi" w:cstheme="majorBidi"/>
          <w:sz w:val="24"/>
          <w:szCs w:val="24"/>
        </w:rPr>
        <w:t xml:space="preserve"> Kia Picanto, Dacia Logan, Dacia Sandero,</w:t>
      </w:r>
      <w:r w:rsidR="001D2575" w:rsidRPr="001D2575">
        <w:rPr>
          <w:rFonts w:asciiTheme="majorBidi" w:hAnsiTheme="majorBidi" w:cstheme="majorBidi"/>
          <w:sz w:val="24"/>
          <w:szCs w:val="24"/>
        </w:rPr>
        <w:t xml:space="preserve"> Fiat Punt</w:t>
      </w:r>
      <w:r w:rsidR="00851EA6">
        <w:rPr>
          <w:rFonts w:asciiTheme="majorBidi" w:hAnsiTheme="majorBidi" w:cstheme="majorBidi"/>
          <w:sz w:val="24"/>
          <w:szCs w:val="24"/>
        </w:rPr>
        <w:t>o</w:t>
      </w:r>
      <w:r w:rsidR="001D2575" w:rsidRPr="001D2575">
        <w:rPr>
          <w:rFonts w:asciiTheme="majorBidi" w:hAnsiTheme="majorBidi" w:cstheme="majorBidi"/>
          <w:sz w:val="24"/>
          <w:szCs w:val="24"/>
        </w:rPr>
        <w:t>,</w:t>
      </w:r>
      <w:r w:rsidR="00851EA6">
        <w:rPr>
          <w:rFonts w:asciiTheme="majorBidi" w:hAnsiTheme="majorBidi" w:cstheme="majorBidi"/>
          <w:sz w:val="24"/>
          <w:szCs w:val="24"/>
        </w:rPr>
        <w:t xml:space="preserve"> Fiat Albea and Suzuki Alto</w:t>
      </w:r>
      <w:r w:rsidR="001D2575" w:rsidRPr="001D2575">
        <w:rPr>
          <w:rFonts w:asciiTheme="majorBidi" w:hAnsiTheme="majorBidi" w:cstheme="majorBidi"/>
          <w:sz w:val="24"/>
          <w:szCs w:val="24"/>
        </w:rPr>
        <w:t xml:space="preserve"> made up</w:t>
      </w:r>
      <w:r w:rsidR="00851EA6">
        <w:rPr>
          <w:rFonts w:asciiTheme="majorBidi" w:hAnsiTheme="majorBidi" w:cstheme="majorBidi"/>
          <w:sz w:val="24"/>
          <w:szCs w:val="24"/>
        </w:rPr>
        <w:t xml:space="preserve"> about 85</w:t>
      </w:r>
      <w:r w:rsidR="001D2575" w:rsidRPr="001D2575">
        <w:rPr>
          <w:rFonts w:asciiTheme="majorBidi" w:hAnsiTheme="majorBidi" w:cstheme="majorBidi"/>
          <w:sz w:val="24"/>
          <w:szCs w:val="24"/>
        </w:rPr>
        <w:t>%</w:t>
      </w:r>
      <w:r w:rsidR="001D2575">
        <w:rPr>
          <w:rFonts w:asciiTheme="majorBidi" w:hAnsiTheme="majorBidi" w:cstheme="majorBidi"/>
          <w:sz w:val="24"/>
          <w:szCs w:val="24"/>
        </w:rPr>
        <w:t xml:space="preserve"> of </w:t>
      </w:r>
      <w:r w:rsidR="001D2575" w:rsidRPr="001D2575">
        <w:rPr>
          <w:rFonts w:asciiTheme="majorBidi" w:hAnsiTheme="majorBidi" w:cstheme="majorBidi"/>
          <w:sz w:val="24"/>
          <w:szCs w:val="24"/>
        </w:rPr>
        <w:t>to</w:t>
      </w:r>
      <w:r w:rsidR="001D2575">
        <w:rPr>
          <w:rFonts w:asciiTheme="majorBidi" w:hAnsiTheme="majorBidi" w:cstheme="majorBidi"/>
          <w:sz w:val="24"/>
          <w:szCs w:val="24"/>
        </w:rPr>
        <w:t>tal Petrol LDV sales.</w:t>
      </w:r>
    </w:p>
    <w:p w14:paraId="5284C135" w14:textId="77777777" w:rsidR="001D2575" w:rsidRDefault="001D2575" w:rsidP="00E75255">
      <w:pPr>
        <w:jc w:val="both"/>
        <w:rPr>
          <w:rFonts w:asciiTheme="majorBidi" w:hAnsiTheme="majorBidi" w:cstheme="majorBidi"/>
          <w:sz w:val="24"/>
          <w:szCs w:val="24"/>
        </w:rPr>
      </w:pPr>
      <w:r>
        <w:rPr>
          <w:rFonts w:asciiTheme="majorBidi" w:hAnsiTheme="majorBidi" w:cstheme="majorBidi"/>
          <w:sz w:val="24"/>
          <w:szCs w:val="24"/>
        </w:rPr>
        <w:t>For diesel LDVs, Dacia Logan, Fiat Doblo, Peugeot Partner</w:t>
      </w:r>
      <w:r w:rsidR="008E1D8E">
        <w:rPr>
          <w:rFonts w:asciiTheme="majorBidi" w:hAnsiTheme="majorBidi" w:cstheme="majorBidi"/>
          <w:sz w:val="24"/>
          <w:szCs w:val="24"/>
        </w:rPr>
        <w:t>, Citroen Berlingo, Dacia Sandero, Ford Fiesta, Toyota Corola, Renault Megane, Peugeot 206, Renault Symbol, Peugeot 308,</w:t>
      </w:r>
      <w:r w:rsidR="00E54FCE">
        <w:rPr>
          <w:rFonts w:asciiTheme="majorBidi" w:hAnsiTheme="majorBidi" w:cstheme="majorBidi"/>
          <w:sz w:val="24"/>
          <w:szCs w:val="24"/>
        </w:rPr>
        <w:t xml:space="preserve"> </w:t>
      </w:r>
      <w:r w:rsidR="008E1D8E">
        <w:rPr>
          <w:rFonts w:asciiTheme="majorBidi" w:hAnsiTheme="majorBidi" w:cstheme="majorBidi"/>
          <w:sz w:val="24"/>
          <w:szCs w:val="24"/>
        </w:rPr>
        <w:t>Peugeot 207, Volkswagen Passat, Hyundai Accent, Hyundai Santa-Fe, Volkswagen Touareg, Volkswagen Polo, Toyota Prado, Renault Clio and Kia Carens made up 87% of diesel LDV</w:t>
      </w:r>
      <w:r w:rsidR="00E54FCE">
        <w:rPr>
          <w:rFonts w:asciiTheme="majorBidi" w:hAnsiTheme="majorBidi" w:cstheme="majorBidi"/>
          <w:sz w:val="24"/>
          <w:szCs w:val="24"/>
        </w:rPr>
        <w:t xml:space="preserve">s </w:t>
      </w:r>
      <w:r w:rsidR="008E1D8E">
        <w:rPr>
          <w:rFonts w:asciiTheme="majorBidi" w:hAnsiTheme="majorBidi" w:cstheme="majorBidi"/>
          <w:sz w:val="24"/>
          <w:szCs w:val="24"/>
        </w:rPr>
        <w:t>sales.</w:t>
      </w:r>
    </w:p>
    <w:p w14:paraId="49F4DD87" w14:textId="77777777" w:rsidR="00E54FCE" w:rsidRDefault="00E54FCE" w:rsidP="00E75255">
      <w:pPr>
        <w:jc w:val="both"/>
        <w:rPr>
          <w:rFonts w:asciiTheme="majorBidi" w:hAnsiTheme="majorBidi" w:cstheme="majorBidi"/>
          <w:sz w:val="24"/>
          <w:szCs w:val="24"/>
        </w:rPr>
      </w:pPr>
      <w:r>
        <w:rPr>
          <w:rFonts w:asciiTheme="majorBidi" w:hAnsiTheme="majorBidi" w:cstheme="majorBidi"/>
          <w:sz w:val="24"/>
          <w:szCs w:val="24"/>
        </w:rPr>
        <w:t xml:space="preserve">The fuel consumption/economy of the best- selling 85% Petrol LDVs had a higher incidence of vehicles with a fuel consumption/economy exceeding 5 Liters/100 km. Thus it is fathomable </w:t>
      </w:r>
      <w:r w:rsidR="00D55788">
        <w:rPr>
          <w:rFonts w:asciiTheme="majorBidi" w:hAnsiTheme="majorBidi" w:cstheme="majorBidi"/>
          <w:sz w:val="24"/>
          <w:szCs w:val="24"/>
        </w:rPr>
        <w:t>that fuel</w:t>
      </w:r>
      <w:r>
        <w:rPr>
          <w:rFonts w:asciiTheme="majorBidi" w:hAnsiTheme="majorBidi" w:cstheme="majorBidi"/>
          <w:sz w:val="24"/>
          <w:szCs w:val="24"/>
        </w:rPr>
        <w:t xml:space="preserve"> consumption/economy for </w:t>
      </w:r>
      <w:r w:rsidR="00C361DD">
        <w:rPr>
          <w:rFonts w:asciiTheme="majorBidi" w:hAnsiTheme="majorBidi" w:cstheme="majorBidi"/>
          <w:sz w:val="24"/>
          <w:szCs w:val="24"/>
        </w:rPr>
        <w:t>new petrol LDVs was higher than that for diesel.</w:t>
      </w:r>
    </w:p>
    <w:p w14:paraId="51E364A0" w14:textId="77777777" w:rsidR="00D55788" w:rsidRDefault="00D55788" w:rsidP="00E75255">
      <w:pPr>
        <w:jc w:val="both"/>
        <w:rPr>
          <w:rFonts w:asciiTheme="majorBidi" w:hAnsiTheme="majorBidi" w:cstheme="majorBidi"/>
          <w:b/>
          <w:bCs/>
          <w:i/>
          <w:iCs/>
          <w:sz w:val="24"/>
          <w:szCs w:val="24"/>
        </w:rPr>
      </w:pPr>
      <w:r w:rsidRPr="00D55788">
        <w:rPr>
          <w:rFonts w:asciiTheme="majorBidi" w:hAnsiTheme="majorBidi" w:cstheme="majorBidi"/>
          <w:b/>
          <w:bCs/>
          <w:i/>
          <w:iCs/>
          <w:sz w:val="24"/>
          <w:szCs w:val="24"/>
        </w:rPr>
        <w:t>Year 2012</w:t>
      </w:r>
    </w:p>
    <w:p w14:paraId="1B982D23" w14:textId="77777777" w:rsidR="00D55788" w:rsidRDefault="00113A2A" w:rsidP="00E75255">
      <w:pPr>
        <w:jc w:val="both"/>
        <w:rPr>
          <w:rFonts w:asciiTheme="majorBidi" w:hAnsiTheme="majorBidi" w:cstheme="majorBidi"/>
          <w:sz w:val="24"/>
          <w:szCs w:val="24"/>
        </w:rPr>
      </w:pPr>
      <w:r w:rsidRPr="00CA78AD">
        <w:rPr>
          <w:rFonts w:asciiTheme="majorBidi" w:hAnsiTheme="majorBidi" w:cstheme="majorBidi"/>
          <w:sz w:val="24"/>
          <w:szCs w:val="24"/>
        </w:rPr>
        <w:t>Hyundai I10, Fiat Punto, Ford Focus, Dacia Logan, Dacia Sandero, Renault Clio, Peugeot 206, Ford Fiesta, Volkswagen Polo, Dacia Duster, Peugeot 208 and Renault Megane made up</w:t>
      </w:r>
      <w:r w:rsidR="00CA78AD" w:rsidRPr="00CA78AD">
        <w:rPr>
          <w:rFonts w:asciiTheme="majorBidi" w:hAnsiTheme="majorBidi" w:cstheme="majorBidi"/>
          <w:sz w:val="24"/>
          <w:szCs w:val="24"/>
        </w:rPr>
        <w:t xml:space="preserve"> 91% of the sales of new petrol LDVs</w:t>
      </w:r>
      <w:r w:rsidR="00CA78AD">
        <w:rPr>
          <w:rFonts w:asciiTheme="majorBidi" w:hAnsiTheme="majorBidi" w:cstheme="majorBidi"/>
          <w:sz w:val="24"/>
          <w:szCs w:val="24"/>
        </w:rPr>
        <w:t>. Fuel consumption/economy levels remained almost the same</w:t>
      </w:r>
      <w:r w:rsidR="00144B06">
        <w:rPr>
          <w:rFonts w:asciiTheme="majorBidi" w:hAnsiTheme="majorBidi" w:cstheme="majorBidi"/>
          <w:sz w:val="24"/>
          <w:szCs w:val="24"/>
        </w:rPr>
        <w:t>, with</w:t>
      </w:r>
      <w:r w:rsidR="006A2772">
        <w:rPr>
          <w:rFonts w:asciiTheme="majorBidi" w:hAnsiTheme="majorBidi" w:cstheme="majorBidi"/>
          <w:sz w:val="24"/>
          <w:szCs w:val="24"/>
        </w:rPr>
        <w:t xml:space="preserve"> a minuscule rise from 5.5</w:t>
      </w:r>
      <w:r w:rsidR="006D5849">
        <w:rPr>
          <w:rFonts w:asciiTheme="majorBidi" w:hAnsiTheme="majorBidi" w:cstheme="majorBidi"/>
          <w:sz w:val="24"/>
          <w:szCs w:val="24"/>
        </w:rPr>
        <w:t>2</w:t>
      </w:r>
      <w:r w:rsidR="006A2772">
        <w:rPr>
          <w:rFonts w:asciiTheme="majorBidi" w:hAnsiTheme="majorBidi" w:cstheme="majorBidi"/>
          <w:sz w:val="24"/>
          <w:szCs w:val="24"/>
        </w:rPr>
        <w:t xml:space="preserve"> l</w:t>
      </w:r>
      <w:r w:rsidR="006D5849">
        <w:rPr>
          <w:rFonts w:asciiTheme="majorBidi" w:hAnsiTheme="majorBidi" w:cstheme="majorBidi"/>
          <w:sz w:val="24"/>
          <w:szCs w:val="24"/>
        </w:rPr>
        <w:t>iter/100km to 5.6</w:t>
      </w:r>
      <w:r w:rsidR="006A2772">
        <w:rPr>
          <w:rFonts w:asciiTheme="majorBidi" w:hAnsiTheme="majorBidi" w:cstheme="majorBidi"/>
          <w:sz w:val="24"/>
          <w:szCs w:val="24"/>
        </w:rPr>
        <w:t xml:space="preserve"> liter/100 km. The </w:t>
      </w:r>
      <w:r w:rsidR="00144B06">
        <w:rPr>
          <w:rFonts w:asciiTheme="majorBidi" w:hAnsiTheme="majorBidi" w:cstheme="majorBidi"/>
          <w:sz w:val="24"/>
          <w:szCs w:val="24"/>
        </w:rPr>
        <w:t>diminutive increase</w:t>
      </w:r>
      <w:r w:rsidR="006A2772">
        <w:rPr>
          <w:rFonts w:asciiTheme="majorBidi" w:hAnsiTheme="majorBidi" w:cstheme="majorBidi"/>
          <w:sz w:val="24"/>
          <w:szCs w:val="24"/>
        </w:rPr>
        <w:t xml:space="preserve"> is attributed to a larger variety of models and variants though the total sales of new LDVs decreased.</w:t>
      </w:r>
    </w:p>
    <w:p w14:paraId="3808577B" w14:textId="77777777" w:rsidR="00144B06" w:rsidRDefault="00144B06" w:rsidP="00E75255">
      <w:pPr>
        <w:jc w:val="both"/>
        <w:rPr>
          <w:rFonts w:asciiTheme="majorBidi" w:hAnsiTheme="majorBidi" w:cstheme="majorBidi"/>
          <w:sz w:val="24"/>
          <w:szCs w:val="24"/>
        </w:rPr>
      </w:pPr>
      <w:r>
        <w:rPr>
          <w:rFonts w:asciiTheme="majorBidi" w:hAnsiTheme="majorBidi" w:cstheme="majorBidi"/>
          <w:sz w:val="24"/>
          <w:szCs w:val="24"/>
        </w:rPr>
        <w:t>Dacia Logan, Dacia Sandero, Dacia duster, Ford Fiesta, Fiat Doblo, Peugeot 206, Citroen Berlingo, Peugeot Part</w:t>
      </w:r>
      <w:r w:rsidR="008D414B">
        <w:rPr>
          <w:rFonts w:asciiTheme="majorBidi" w:hAnsiTheme="majorBidi" w:cstheme="majorBidi"/>
          <w:sz w:val="24"/>
          <w:szCs w:val="24"/>
        </w:rPr>
        <w:t>ner, Renault Clio, Nissan Qashq</w:t>
      </w:r>
      <w:r>
        <w:rPr>
          <w:rFonts w:asciiTheme="majorBidi" w:hAnsiTheme="majorBidi" w:cstheme="majorBidi"/>
          <w:sz w:val="24"/>
          <w:szCs w:val="24"/>
        </w:rPr>
        <w:t>ai, Volkswagen Polo, Renault Megane, Dacia Dokker, Hyundai ix35,Peugeot 308, Ford Kuga, Peugeot Biper, Citroen C4, Hy</w:t>
      </w:r>
      <w:r w:rsidR="00E82A65">
        <w:rPr>
          <w:rFonts w:asciiTheme="majorBidi" w:hAnsiTheme="majorBidi" w:cstheme="majorBidi"/>
          <w:sz w:val="24"/>
          <w:szCs w:val="24"/>
        </w:rPr>
        <w:t>u</w:t>
      </w:r>
      <w:r>
        <w:rPr>
          <w:rFonts w:asciiTheme="majorBidi" w:hAnsiTheme="majorBidi" w:cstheme="majorBidi"/>
          <w:sz w:val="24"/>
          <w:szCs w:val="24"/>
        </w:rPr>
        <w:t xml:space="preserve">ndai Accent, </w:t>
      </w:r>
      <w:r w:rsidR="00E82A65">
        <w:rPr>
          <w:rFonts w:asciiTheme="majorBidi" w:hAnsiTheme="majorBidi" w:cstheme="majorBidi"/>
          <w:sz w:val="24"/>
          <w:szCs w:val="24"/>
        </w:rPr>
        <w:t xml:space="preserve"> Citroen C3, Opel Astra and Hyundai i30 made up 87% of new diesel LDVs sales.</w:t>
      </w:r>
      <w:r w:rsidR="008438C6">
        <w:rPr>
          <w:rFonts w:asciiTheme="majorBidi" w:hAnsiTheme="majorBidi" w:cstheme="majorBidi"/>
          <w:sz w:val="24"/>
          <w:szCs w:val="24"/>
        </w:rPr>
        <w:t xml:space="preserve"> </w:t>
      </w:r>
      <w:r w:rsidR="006D5849">
        <w:rPr>
          <w:rFonts w:asciiTheme="majorBidi" w:hAnsiTheme="majorBidi" w:cstheme="majorBidi"/>
          <w:sz w:val="24"/>
          <w:szCs w:val="24"/>
        </w:rPr>
        <w:t xml:space="preserve">It is that most </w:t>
      </w:r>
      <w:r w:rsidR="00E15BC1">
        <w:rPr>
          <w:rFonts w:asciiTheme="majorBidi" w:hAnsiTheme="majorBidi" w:cstheme="majorBidi"/>
          <w:sz w:val="24"/>
          <w:szCs w:val="24"/>
        </w:rPr>
        <w:t>of</w:t>
      </w:r>
      <w:r w:rsidR="00E82A65">
        <w:rPr>
          <w:rFonts w:asciiTheme="majorBidi" w:hAnsiTheme="majorBidi" w:cstheme="majorBidi"/>
          <w:sz w:val="24"/>
          <w:szCs w:val="24"/>
        </w:rPr>
        <w:t xml:space="preserve"> them had fuel economy/consumption levels in the order of 3 and 4 liter/</w:t>
      </w:r>
      <w:r w:rsidR="00DD45B9">
        <w:rPr>
          <w:rFonts w:asciiTheme="majorBidi" w:hAnsiTheme="majorBidi" w:cstheme="majorBidi"/>
          <w:sz w:val="24"/>
          <w:szCs w:val="24"/>
        </w:rPr>
        <w:t xml:space="preserve">100km which </w:t>
      </w:r>
      <w:r w:rsidR="00E82A65">
        <w:rPr>
          <w:rFonts w:asciiTheme="majorBidi" w:hAnsiTheme="majorBidi" w:cstheme="majorBidi"/>
          <w:sz w:val="24"/>
          <w:szCs w:val="24"/>
        </w:rPr>
        <w:t>explain</w:t>
      </w:r>
      <w:r w:rsidR="006D5849">
        <w:rPr>
          <w:rFonts w:asciiTheme="majorBidi" w:hAnsiTheme="majorBidi" w:cstheme="majorBidi"/>
          <w:sz w:val="24"/>
          <w:szCs w:val="24"/>
        </w:rPr>
        <w:t>s</w:t>
      </w:r>
      <w:r w:rsidR="00E82A65">
        <w:rPr>
          <w:rFonts w:asciiTheme="majorBidi" w:hAnsiTheme="majorBidi" w:cstheme="majorBidi"/>
          <w:sz w:val="24"/>
          <w:szCs w:val="24"/>
        </w:rPr>
        <w:t xml:space="preserve"> the better fuel economy/consumption harmonic average of diesel LDVs than petrol ones.</w:t>
      </w:r>
      <w:r w:rsidR="00E15BC1">
        <w:rPr>
          <w:rFonts w:asciiTheme="majorBidi" w:hAnsiTheme="majorBidi" w:cstheme="majorBidi"/>
          <w:sz w:val="24"/>
          <w:szCs w:val="24"/>
        </w:rPr>
        <w:t xml:space="preserve"> The fuel economy/consumption levels for new diesel LDVs witnessed a small improvement from 4.87 to 4.5 due the improvements in fuel consumption/</w:t>
      </w:r>
      <w:r w:rsidR="002558D7">
        <w:rPr>
          <w:rFonts w:asciiTheme="majorBidi" w:hAnsiTheme="majorBidi" w:cstheme="majorBidi"/>
          <w:sz w:val="24"/>
          <w:szCs w:val="24"/>
        </w:rPr>
        <w:t xml:space="preserve"> economy of</w:t>
      </w:r>
      <w:r w:rsidR="006D5849">
        <w:rPr>
          <w:rFonts w:asciiTheme="majorBidi" w:hAnsiTheme="majorBidi" w:cstheme="majorBidi"/>
          <w:sz w:val="24"/>
          <w:szCs w:val="24"/>
        </w:rPr>
        <w:t xml:space="preserve"> diesel</w:t>
      </w:r>
      <w:r w:rsidR="002558D7">
        <w:rPr>
          <w:rFonts w:asciiTheme="majorBidi" w:hAnsiTheme="majorBidi" w:cstheme="majorBidi"/>
          <w:sz w:val="24"/>
          <w:szCs w:val="24"/>
        </w:rPr>
        <w:t xml:space="preserve"> models sold on 2012- notwithstanding the much larger sales volumes in 2012</w:t>
      </w:r>
      <w:r w:rsidR="00D612F3">
        <w:rPr>
          <w:rFonts w:asciiTheme="majorBidi" w:hAnsiTheme="majorBidi" w:cstheme="majorBidi"/>
          <w:sz w:val="24"/>
          <w:szCs w:val="24"/>
        </w:rPr>
        <w:t>.</w:t>
      </w:r>
    </w:p>
    <w:p w14:paraId="3310D344" w14:textId="77777777" w:rsidR="00D612F3" w:rsidRDefault="00D612F3" w:rsidP="00E75255">
      <w:pPr>
        <w:jc w:val="both"/>
        <w:rPr>
          <w:rFonts w:asciiTheme="majorBidi" w:hAnsiTheme="majorBidi" w:cstheme="majorBidi"/>
          <w:b/>
          <w:bCs/>
          <w:i/>
          <w:iCs/>
          <w:sz w:val="24"/>
          <w:szCs w:val="24"/>
        </w:rPr>
      </w:pPr>
      <w:r w:rsidRPr="00D612F3">
        <w:rPr>
          <w:rFonts w:asciiTheme="majorBidi" w:hAnsiTheme="majorBidi" w:cstheme="majorBidi"/>
          <w:b/>
          <w:bCs/>
          <w:i/>
          <w:iCs/>
          <w:sz w:val="24"/>
          <w:szCs w:val="24"/>
        </w:rPr>
        <w:t>Year 2013</w:t>
      </w:r>
    </w:p>
    <w:p w14:paraId="2785996B" w14:textId="77777777" w:rsidR="00D612F3" w:rsidRPr="00D038D1" w:rsidRDefault="00D612F3" w:rsidP="00E75255">
      <w:pPr>
        <w:jc w:val="both"/>
        <w:rPr>
          <w:rFonts w:asciiTheme="majorBidi" w:hAnsiTheme="majorBidi" w:cstheme="majorBidi"/>
          <w:sz w:val="24"/>
          <w:szCs w:val="24"/>
        </w:rPr>
      </w:pPr>
      <w:r w:rsidRPr="00D038D1">
        <w:rPr>
          <w:rFonts w:asciiTheme="majorBidi" w:hAnsiTheme="majorBidi" w:cstheme="majorBidi"/>
          <w:sz w:val="24"/>
          <w:szCs w:val="24"/>
        </w:rPr>
        <w:t>Hyundai I10, Fiat Punto, Dacia Sandero,</w:t>
      </w:r>
      <w:r w:rsidR="00D038D1">
        <w:rPr>
          <w:rFonts w:asciiTheme="majorBidi" w:hAnsiTheme="majorBidi" w:cstheme="majorBidi"/>
          <w:sz w:val="24"/>
          <w:szCs w:val="24"/>
        </w:rPr>
        <w:t xml:space="preserve"> Renault Clio, Peugeot 208, Ford Focus, Dacia Logan, Ford Fiesta, Dacia Duster, Peugeot 301, and Volkswagen Polo made up 89% of new petrol LDVs sales for 2009. </w:t>
      </w:r>
      <w:r w:rsidR="009E4A1D">
        <w:rPr>
          <w:rFonts w:asciiTheme="majorBidi" w:hAnsiTheme="majorBidi" w:cstheme="majorBidi"/>
          <w:sz w:val="24"/>
          <w:szCs w:val="24"/>
        </w:rPr>
        <w:t xml:space="preserve">The improvement is attributed to the fact </w:t>
      </w:r>
      <w:r w:rsidR="00B960DE">
        <w:rPr>
          <w:rFonts w:asciiTheme="majorBidi" w:hAnsiTheme="majorBidi" w:cstheme="majorBidi"/>
          <w:sz w:val="24"/>
          <w:szCs w:val="24"/>
        </w:rPr>
        <w:t>despite the models and variants sold in 2013 wer</w:t>
      </w:r>
      <w:r w:rsidR="00DC6BA3">
        <w:rPr>
          <w:rFonts w:asciiTheme="majorBidi" w:hAnsiTheme="majorBidi" w:cstheme="majorBidi"/>
          <w:sz w:val="24"/>
          <w:szCs w:val="24"/>
        </w:rPr>
        <w:t>e much similar to those of 2012</w:t>
      </w:r>
      <w:r w:rsidR="00B960DE">
        <w:rPr>
          <w:rFonts w:asciiTheme="majorBidi" w:hAnsiTheme="majorBidi" w:cstheme="majorBidi"/>
          <w:sz w:val="24"/>
          <w:szCs w:val="24"/>
        </w:rPr>
        <w:t>, the less efficient Dacia models</w:t>
      </w:r>
      <w:r w:rsidR="00DC6BA3">
        <w:rPr>
          <w:rFonts w:asciiTheme="majorBidi" w:hAnsiTheme="majorBidi" w:cstheme="majorBidi"/>
          <w:sz w:val="24"/>
          <w:szCs w:val="24"/>
        </w:rPr>
        <w:t>, Renault Megane,</w:t>
      </w:r>
      <w:r w:rsidR="00B960DE">
        <w:rPr>
          <w:rFonts w:asciiTheme="majorBidi" w:hAnsiTheme="majorBidi" w:cstheme="majorBidi"/>
          <w:sz w:val="24"/>
          <w:szCs w:val="24"/>
        </w:rPr>
        <w:t xml:space="preserve"> Ford Focus and Peugeot 206 sold less in 2013</w:t>
      </w:r>
      <w:r w:rsidR="00DC6BA3">
        <w:rPr>
          <w:rFonts w:asciiTheme="majorBidi" w:hAnsiTheme="majorBidi" w:cstheme="majorBidi"/>
          <w:sz w:val="24"/>
          <w:szCs w:val="24"/>
        </w:rPr>
        <w:t>.</w:t>
      </w:r>
    </w:p>
    <w:p w14:paraId="4B5B5CCF" w14:textId="77777777" w:rsidR="00780BFB" w:rsidRDefault="008D414B" w:rsidP="00E75255">
      <w:pPr>
        <w:jc w:val="both"/>
        <w:rPr>
          <w:rFonts w:asciiTheme="majorBidi" w:hAnsiTheme="majorBidi" w:cstheme="majorBidi"/>
          <w:sz w:val="24"/>
          <w:szCs w:val="24"/>
        </w:rPr>
      </w:pPr>
      <w:r>
        <w:rPr>
          <w:rFonts w:asciiTheme="majorBidi" w:hAnsiTheme="majorBidi" w:cstheme="majorBidi"/>
          <w:sz w:val="24"/>
          <w:szCs w:val="24"/>
        </w:rPr>
        <w:t xml:space="preserve">Dacia Logan, Dacia Duster, Dacia Dokker, Dacia Sandero, Ford Fiesta, Fiat Doblo, Renault Clio, Ford Focus, Peugeot 301, Citroen Berlingo, Nissan </w:t>
      </w:r>
      <w:r w:rsidR="00944AFF">
        <w:rPr>
          <w:rFonts w:asciiTheme="majorBidi" w:hAnsiTheme="majorBidi" w:cstheme="majorBidi"/>
          <w:sz w:val="24"/>
          <w:szCs w:val="24"/>
        </w:rPr>
        <w:t>Qashqai,</w:t>
      </w:r>
      <w:r>
        <w:rPr>
          <w:rFonts w:asciiTheme="majorBidi" w:hAnsiTheme="majorBidi" w:cstheme="majorBidi"/>
          <w:sz w:val="24"/>
          <w:szCs w:val="24"/>
        </w:rPr>
        <w:t xml:space="preserve"> Hyundai ix35, Peugeot Partner, Volkswagen Polo, Peugeot 206, Peugeot Biper, Hyundai i30, Ford Kuga, Renault Megane, Opel </w:t>
      </w:r>
      <w:r>
        <w:rPr>
          <w:rFonts w:asciiTheme="majorBidi" w:hAnsiTheme="majorBidi" w:cstheme="majorBidi"/>
          <w:sz w:val="24"/>
          <w:szCs w:val="24"/>
        </w:rPr>
        <w:lastRenderedPageBreak/>
        <w:t xml:space="preserve">Astra, Hyundai Accent, Citroen C-Elysee, Hyundai Santa-Fe, Citroen C4 and Ford Transit </w:t>
      </w:r>
      <w:r w:rsidR="00944AFF">
        <w:rPr>
          <w:rFonts w:asciiTheme="majorBidi" w:hAnsiTheme="majorBidi" w:cstheme="majorBidi"/>
          <w:sz w:val="24"/>
          <w:szCs w:val="24"/>
        </w:rPr>
        <w:t>were up</w:t>
      </w:r>
      <w:r>
        <w:rPr>
          <w:rFonts w:asciiTheme="majorBidi" w:hAnsiTheme="majorBidi" w:cstheme="majorBidi"/>
          <w:sz w:val="24"/>
          <w:szCs w:val="24"/>
        </w:rPr>
        <w:t xml:space="preserve"> to 91% of new diesel LDVs sales for 2013.</w:t>
      </w:r>
      <w:r w:rsidR="00A76A24">
        <w:rPr>
          <w:rFonts w:asciiTheme="majorBidi" w:hAnsiTheme="majorBidi" w:cstheme="majorBidi"/>
          <w:sz w:val="24"/>
          <w:szCs w:val="24"/>
        </w:rPr>
        <w:t xml:space="preserve"> Fuel </w:t>
      </w:r>
      <w:r w:rsidR="00AC099F">
        <w:rPr>
          <w:rFonts w:asciiTheme="majorBidi" w:hAnsiTheme="majorBidi" w:cstheme="majorBidi"/>
          <w:sz w:val="24"/>
          <w:szCs w:val="24"/>
        </w:rPr>
        <w:t>consumption/efficiency harmonic average figure increased by 0.06 liter/100 km because there had been no sizeable improvement in fuel efficiency of models sold in Morocco from 2012 to 2013, while the sales volumes of new diesel LDVs increased by more than a couple of thousand vehicles with a bit more marketed models and variants.</w:t>
      </w:r>
    </w:p>
    <w:p w14:paraId="0B046138" w14:textId="77777777" w:rsidR="001D68AE" w:rsidRDefault="001D68AE" w:rsidP="00F10DFD">
      <w:pPr>
        <w:pStyle w:val="Heading1"/>
      </w:pPr>
      <w:bookmarkStart w:id="30" w:name="_Toc402703208"/>
      <w:r w:rsidRPr="001D68AE">
        <w:t>Way Forward</w:t>
      </w:r>
      <w:r w:rsidR="005B0974">
        <w:t xml:space="preserve"> and Recommendations</w:t>
      </w:r>
      <w:bookmarkEnd w:id="30"/>
    </w:p>
    <w:p w14:paraId="42126A06" w14:textId="77777777" w:rsidR="00816D25" w:rsidRDefault="001D68AE" w:rsidP="00E75255">
      <w:pPr>
        <w:jc w:val="both"/>
        <w:rPr>
          <w:rFonts w:asciiTheme="majorBidi" w:hAnsiTheme="majorBidi" w:cstheme="majorBidi"/>
          <w:sz w:val="24"/>
          <w:szCs w:val="24"/>
        </w:rPr>
      </w:pPr>
      <w:r w:rsidRPr="001D68AE">
        <w:rPr>
          <w:rFonts w:asciiTheme="majorBidi" w:hAnsiTheme="majorBidi" w:cstheme="majorBidi"/>
          <w:sz w:val="24"/>
          <w:szCs w:val="24"/>
        </w:rPr>
        <w:t>For the year</w:t>
      </w:r>
      <w:r>
        <w:rPr>
          <w:rFonts w:asciiTheme="majorBidi" w:hAnsiTheme="majorBidi" w:cstheme="majorBidi"/>
          <w:sz w:val="24"/>
          <w:szCs w:val="24"/>
        </w:rPr>
        <w:t>s trended in the report, Morocco</w:t>
      </w:r>
      <w:r w:rsidRPr="001D68AE">
        <w:rPr>
          <w:rFonts w:asciiTheme="majorBidi" w:hAnsiTheme="majorBidi" w:cstheme="majorBidi"/>
          <w:sz w:val="24"/>
          <w:szCs w:val="24"/>
        </w:rPr>
        <w:t xml:space="preserve"> managed to maintain outstanding fuel consumption rates on a weighted average scale</w:t>
      </w:r>
      <w:r>
        <w:rPr>
          <w:rFonts w:asciiTheme="majorBidi" w:hAnsiTheme="majorBidi" w:cstheme="majorBidi"/>
          <w:sz w:val="24"/>
          <w:szCs w:val="24"/>
        </w:rPr>
        <w:t>. The weighted harmonic averages of diesel LDVs, which comprise the bulk of the market sales, were considerably lower than both OECD and</w:t>
      </w:r>
      <w:r w:rsidR="00704425">
        <w:rPr>
          <w:rFonts w:asciiTheme="majorBidi" w:hAnsiTheme="majorBidi" w:cstheme="majorBidi"/>
          <w:sz w:val="24"/>
          <w:szCs w:val="24"/>
        </w:rPr>
        <w:t xml:space="preserve"> non</w:t>
      </w:r>
      <w:r>
        <w:rPr>
          <w:rFonts w:asciiTheme="majorBidi" w:hAnsiTheme="majorBidi" w:cstheme="majorBidi"/>
          <w:sz w:val="24"/>
          <w:szCs w:val="24"/>
        </w:rPr>
        <w:t xml:space="preserve">-OECD averages and even performing better than the Tunisian case. Petrol LDVs </w:t>
      </w:r>
      <w:r w:rsidR="00ED47C8">
        <w:rPr>
          <w:rFonts w:asciiTheme="majorBidi" w:hAnsiTheme="majorBidi" w:cstheme="majorBidi"/>
          <w:sz w:val="24"/>
          <w:szCs w:val="24"/>
        </w:rPr>
        <w:t>also showed a similar trend though they were close to Tunisian averages.</w:t>
      </w:r>
      <w:r w:rsidR="006B7CA0">
        <w:rPr>
          <w:rFonts w:asciiTheme="majorBidi" w:hAnsiTheme="majorBidi" w:cstheme="majorBidi"/>
          <w:sz w:val="24"/>
          <w:szCs w:val="24"/>
        </w:rPr>
        <w:t xml:space="preserve"> However, it need to be empathized that fuel consumption/economy  of many LDVs models has been improving since 2005</w:t>
      </w:r>
      <w:r w:rsidR="00871D81">
        <w:rPr>
          <w:rFonts w:asciiTheme="majorBidi" w:hAnsiTheme="majorBidi" w:cstheme="majorBidi"/>
          <w:sz w:val="24"/>
          <w:szCs w:val="24"/>
        </w:rPr>
        <w:t>, yet still Moroccan LDVs  fared better in fuel consumption/economy for the years 2012 and 2010.</w:t>
      </w:r>
      <w:r w:rsidR="00ED47C8">
        <w:rPr>
          <w:rFonts w:asciiTheme="majorBidi" w:hAnsiTheme="majorBidi" w:cstheme="majorBidi"/>
          <w:sz w:val="24"/>
          <w:szCs w:val="24"/>
        </w:rPr>
        <w:t xml:space="preserve"> </w:t>
      </w:r>
    </w:p>
    <w:p w14:paraId="577A495C" w14:textId="77777777" w:rsidR="00814566" w:rsidRDefault="00ED47C8" w:rsidP="00E75255">
      <w:pPr>
        <w:jc w:val="both"/>
        <w:rPr>
          <w:rFonts w:asciiTheme="majorBidi" w:hAnsiTheme="majorBidi" w:cstheme="majorBidi"/>
          <w:sz w:val="24"/>
          <w:szCs w:val="24"/>
        </w:rPr>
      </w:pPr>
      <w:r>
        <w:rPr>
          <w:rFonts w:asciiTheme="majorBidi" w:hAnsiTheme="majorBidi" w:cstheme="majorBidi"/>
          <w:sz w:val="24"/>
          <w:szCs w:val="24"/>
        </w:rPr>
        <w:t>Both European and domestic production of European brands dominate the Moroccan market by far. Thus, the European increasingly stringent fuel consumption/efficiency standards have impacted Morocco as well.</w:t>
      </w:r>
      <w:r w:rsidR="00704425">
        <w:rPr>
          <w:rFonts w:asciiTheme="majorBidi" w:hAnsiTheme="majorBidi" w:cstheme="majorBidi"/>
          <w:sz w:val="24"/>
          <w:szCs w:val="24"/>
        </w:rPr>
        <w:t xml:space="preserve"> That a large share of Moroccan domestic production</w:t>
      </w:r>
      <w:r w:rsidR="00A04CBA">
        <w:rPr>
          <w:rFonts w:asciiTheme="majorBidi" w:hAnsiTheme="majorBidi" w:cstheme="majorBidi"/>
          <w:sz w:val="24"/>
          <w:szCs w:val="24"/>
        </w:rPr>
        <w:t xml:space="preserve"> is </w:t>
      </w:r>
      <w:r w:rsidR="00CB01D9">
        <w:rPr>
          <w:rFonts w:asciiTheme="majorBidi" w:hAnsiTheme="majorBidi" w:cstheme="majorBidi"/>
          <w:sz w:val="24"/>
          <w:szCs w:val="24"/>
        </w:rPr>
        <w:t>exported to Europe drives the Moroccan made cars to keep up</w:t>
      </w:r>
      <w:r w:rsidR="00CC384B">
        <w:rPr>
          <w:rFonts w:asciiTheme="majorBidi" w:hAnsiTheme="majorBidi" w:cstheme="majorBidi"/>
          <w:sz w:val="24"/>
          <w:szCs w:val="24"/>
        </w:rPr>
        <w:t xml:space="preserve"> with</w:t>
      </w:r>
      <w:r w:rsidR="00CB01D9">
        <w:rPr>
          <w:rFonts w:asciiTheme="majorBidi" w:hAnsiTheme="majorBidi" w:cstheme="majorBidi"/>
          <w:sz w:val="24"/>
          <w:szCs w:val="24"/>
        </w:rPr>
        <w:t xml:space="preserve"> European ones in terms of fuel consumption/economy. </w:t>
      </w:r>
      <w:r>
        <w:rPr>
          <w:rFonts w:asciiTheme="majorBidi" w:hAnsiTheme="majorBidi" w:cstheme="majorBidi"/>
          <w:sz w:val="24"/>
          <w:szCs w:val="24"/>
        </w:rPr>
        <w:t xml:space="preserve"> Furthermore, the lower GDP per capita in Morocco compared to the manufacturing origin of the brand</w:t>
      </w:r>
      <w:r w:rsidR="00CB01D9">
        <w:rPr>
          <w:rFonts w:asciiTheme="majorBidi" w:hAnsiTheme="majorBidi" w:cstheme="majorBidi"/>
          <w:sz w:val="24"/>
          <w:szCs w:val="24"/>
        </w:rPr>
        <w:t xml:space="preserve"> coupled with relatively high fuel prices</w:t>
      </w:r>
      <w:r w:rsidR="00A04CBA">
        <w:rPr>
          <w:rFonts w:asciiTheme="majorBidi" w:hAnsiTheme="majorBidi" w:cstheme="majorBidi"/>
          <w:sz w:val="24"/>
          <w:szCs w:val="24"/>
        </w:rPr>
        <w:t>, though still lower than international prices,  pushes the Moroccan market towards the lower end of the engine-size spectrum</w:t>
      </w:r>
      <w:r w:rsidR="00CC384B">
        <w:rPr>
          <w:rFonts w:asciiTheme="majorBidi" w:hAnsiTheme="majorBidi" w:cstheme="majorBidi"/>
          <w:sz w:val="24"/>
          <w:szCs w:val="24"/>
        </w:rPr>
        <w:t xml:space="preserve">. Also, the variants sold in Morocco are usually of smaller horsepower. </w:t>
      </w:r>
      <w:r w:rsidR="006E632F">
        <w:rPr>
          <w:rFonts w:asciiTheme="majorBidi" w:hAnsiTheme="majorBidi" w:cstheme="majorBidi"/>
          <w:sz w:val="24"/>
          <w:szCs w:val="24"/>
        </w:rPr>
        <w:t>Lumped together, the number of factors being discussed provides a viable explanation of the exemplary fuel consumption/economy performance of Moroccan market</w:t>
      </w:r>
      <w:r w:rsidR="00142362">
        <w:rPr>
          <w:rFonts w:asciiTheme="majorBidi" w:hAnsiTheme="majorBidi" w:cstheme="majorBidi"/>
          <w:sz w:val="24"/>
          <w:szCs w:val="24"/>
        </w:rPr>
        <w:t>.</w:t>
      </w:r>
      <w:r w:rsidR="00814566">
        <w:rPr>
          <w:rFonts w:asciiTheme="majorBidi" w:hAnsiTheme="majorBidi" w:cstheme="majorBidi"/>
          <w:sz w:val="24"/>
          <w:szCs w:val="24"/>
        </w:rPr>
        <w:t xml:space="preserve"> Yet, this is by no means the best of all possible worlds since the variants sold in Morocco are more often than not less fuel efficient than ones of the same horsepower and  engine size.</w:t>
      </w:r>
      <w:r w:rsidR="00142362">
        <w:rPr>
          <w:rFonts w:asciiTheme="majorBidi" w:hAnsiTheme="majorBidi" w:cstheme="majorBidi"/>
          <w:sz w:val="24"/>
          <w:szCs w:val="24"/>
        </w:rPr>
        <w:t xml:space="preserve"> </w:t>
      </w:r>
    </w:p>
    <w:p w14:paraId="095D3ED1" w14:textId="77777777" w:rsidR="001D68AE" w:rsidRDefault="00814566" w:rsidP="00E75255">
      <w:pPr>
        <w:jc w:val="both"/>
        <w:rPr>
          <w:rFonts w:asciiTheme="majorBidi" w:hAnsiTheme="majorBidi" w:cstheme="majorBidi"/>
          <w:sz w:val="24"/>
          <w:szCs w:val="24"/>
        </w:rPr>
      </w:pPr>
      <w:r>
        <w:rPr>
          <w:rFonts w:asciiTheme="majorBidi" w:hAnsiTheme="majorBidi" w:cstheme="majorBidi"/>
          <w:sz w:val="24"/>
          <w:szCs w:val="24"/>
        </w:rPr>
        <w:t xml:space="preserve">Still, nevertheless, </w:t>
      </w:r>
      <w:r w:rsidR="00142362">
        <w:rPr>
          <w:rFonts w:asciiTheme="majorBidi" w:hAnsiTheme="majorBidi" w:cstheme="majorBidi"/>
          <w:sz w:val="24"/>
          <w:szCs w:val="24"/>
        </w:rPr>
        <w:t xml:space="preserve">LDVs sold in Morocco boast more technological sophistication than Tunisian ones with the market showing preferences for lower engine sizes. </w:t>
      </w:r>
      <w:r w:rsidR="005A2582">
        <w:rPr>
          <w:rFonts w:asciiTheme="majorBidi" w:hAnsiTheme="majorBidi" w:cstheme="majorBidi"/>
          <w:sz w:val="24"/>
          <w:szCs w:val="24"/>
        </w:rPr>
        <w:t>Although the LDVs market in Morocco is free to a large extent, with a regulatory slant favoring European producers, government set the playing field for the introduction of modern energy efficient diesel LDVs by the enforcement of fuel quality standards of Euro 4/5 diesel rendering the marketing of modern technology diesel vehicles p</w:t>
      </w:r>
      <w:r w:rsidR="00AC696D">
        <w:rPr>
          <w:rFonts w:asciiTheme="majorBidi" w:hAnsiTheme="majorBidi" w:cstheme="majorBidi"/>
          <w:sz w:val="24"/>
          <w:szCs w:val="24"/>
        </w:rPr>
        <w:t xml:space="preserve">ossible. The privatized </w:t>
      </w:r>
      <w:r w:rsidR="005A2582">
        <w:rPr>
          <w:rFonts w:asciiTheme="majorBidi" w:hAnsiTheme="majorBidi" w:cstheme="majorBidi"/>
          <w:sz w:val="24"/>
          <w:szCs w:val="24"/>
        </w:rPr>
        <w:t>refining industry</w:t>
      </w:r>
      <w:r w:rsidR="002671B9">
        <w:rPr>
          <w:rFonts w:asciiTheme="majorBidi" w:hAnsiTheme="majorBidi" w:cstheme="majorBidi"/>
          <w:sz w:val="24"/>
          <w:szCs w:val="24"/>
        </w:rPr>
        <w:t xml:space="preserve"> </w:t>
      </w:r>
      <w:r w:rsidR="00AC696D">
        <w:rPr>
          <w:rFonts w:asciiTheme="majorBidi" w:hAnsiTheme="majorBidi" w:cstheme="majorBidi"/>
          <w:sz w:val="24"/>
          <w:szCs w:val="24"/>
        </w:rPr>
        <w:t xml:space="preserve">responded positively to government regulation. Meanwhile, the pump price of diesel in Morocco is cheaper than petrol pushing for an increased demand for the fuel-efficient diesel LDVs, in the efficiency sensitive Moroccan market. </w:t>
      </w:r>
    </w:p>
    <w:p w14:paraId="593F9D15" w14:textId="77777777" w:rsidR="002316C2" w:rsidRDefault="002316C2" w:rsidP="00E75255">
      <w:pPr>
        <w:jc w:val="both"/>
        <w:rPr>
          <w:rFonts w:asciiTheme="majorBidi" w:hAnsiTheme="majorBidi" w:cstheme="majorBidi"/>
          <w:sz w:val="24"/>
          <w:szCs w:val="24"/>
        </w:rPr>
      </w:pPr>
      <w:r>
        <w:rPr>
          <w:rFonts w:asciiTheme="majorBidi" w:hAnsiTheme="majorBidi" w:cstheme="majorBidi"/>
          <w:sz w:val="24"/>
          <w:szCs w:val="24"/>
        </w:rPr>
        <w:t xml:space="preserve">Despite the satisfactory fuel consumption/ efficiency </w:t>
      </w:r>
      <w:r w:rsidR="00752C48">
        <w:rPr>
          <w:rFonts w:asciiTheme="majorBidi" w:hAnsiTheme="majorBidi" w:cstheme="majorBidi"/>
          <w:sz w:val="24"/>
          <w:szCs w:val="24"/>
        </w:rPr>
        <w:t>averages for morocco</w:t>
      </w:r>
      <w:r w:rsidR="00AD32A9">
        <w:rPr>
          <w:rFonts w:asciiTheme="majorBidi" w:hAnsiTheme="majorBidi" w:cstheme="majorBidi"/>
          <w:sz w:val="24"/>
          <w:szCs w:val="24"/>
        </w:rPr>
        <w:t>, co</w:t>
      </w:r>
      <w:r w:rsidR="00AD32A9">
        <w:rPr>
          <w:rFonts w:asciiTheme="majorBidi" w:hAnsiTheme="majorBidi" w:cstheme="majorBidi"/>
          <w:sz w:val="24"/>
          <w:szCs w:val="24"/>
          <w:vertAlign w:val="subscript"/>
        </w:rPr>
        <w:t>2</w:t>
      </w:r>
      <w:r w:rsidR="00AD32A9">
        <w:rPr>
          <w:rFonts w:asciiTheme="majorBidi" w:hAnsiTheme="majorBidi" w:cstheme="majorBidi"/>
          <w:sz w:val="24"/>
          <w:szCs w:val="24"/>
        </w:rPr>
        <w:t xml:space="preserve"> emissions from transportation have been on constant rise in the period from 2005 till 2011, as shown in Figure 8.</w:t>
      </w:r>
    </w:p>
    <w:p w14:paraId="787A2191" w14:textId="7D939FB6" w:rsidR="00A06CBD" w:rsidRDefault="001428BE" w:rsidP="00E75255">
      <w:pPr>
        <w:keepNext/>
        <w:jc w:val="center"/>
      </w:pPr>
      <w:r>
        <w:rPr>
          <w:noProof/>
        </w:rPr>
        <w:lastRenderedPageBreak/>
        <w:drawing>
          <wp:inline distT="0" distB="0" distL="0" distR="0" wp14:anchorId="36A81594" wp14:editId="7A7EB595">
            <wp:extent cx="3575304" cy="2295144"/>
            <wp:effectExtent l="0" t="0" r="635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75304" cy="2295144"/>
                    </a:xfrm>
                    <a:prstGeom prst="rect">
                      <a:avLst/>
                    </a:prstGeom>
                    <a:noFill/>
                  </pic:spPr>
                </pic:pic>
              </a:graphicData>
            </a:graphic>
          </wp:inline>
        </w:drawing>
      </w:r>
    </w:p>
    <w:p w14:paraId="0066A9F2" w14:textId="77777777" w:rsidR="00AD32A9" w:rsidRPr="00AD32A9" w:rsidRDefault="00A06CBD" w:rsidP="00E75255">
      <w:pPr>
        <w:pStyle w:val="Caption"/>
        <w:jc w:val="center"/>
        <w:rPr>
          <w:rFonts w:asciiTheme="majorBidi" w:hAnsiTheme="majorBidi" w:cstheme="majorBidi"/>
          <w:sz w:val="24"/>
          <w:szCs w:val="24"/>
        </w:rPr>
      </w:pPr>
      <w:bookmarkStart w:id="31" w:name="_Toc402702776"/>
      <w:r>
        <w:t xml:space="preserve">Figure </w:t>
      </w:r>
      <w:r w:rsidR="003D4928">
        <w:fldChar w:fldCharType="begin"/>
      </w:r>
      <w:r w:rsidR="003D4928">
        <w:instrText xml:space="preserve"> SEQ Figure \* ARABIC </w:instrText>
      </w:r>
      <w:r w:rsidR="003D4928">
        <w:fldChar w:fldCharType="separate"/>
      </w:r>
      <w:r>
        <w:rPr>
          <w:noProof/>
        </w:rPr>
        <w:t>8</w:t>
      </w:r>
      <w:r w:rsidR="003D4928">
        <w:rPr>
          <w:noProof/>
        </w:rPr>
        <w:fldChar w:fldCharType="end"/>
      </w:r>
      <w:r>
        <w:t>: The evolution of co2 emissions from Transportation in Morocco</w:t>
      </w:r>
      <w:bookmarkEnd w:id="31"/>
    </w:p>
    <w:p w14:paraId="7D925C89" w14:textId="77777777" w:rsidR="008A7E8F" w:rsidRDefault="008A7E8F" w:rsidP="00E75255">
      <w:pPr>
        <w:jc w:val="both"/>
        <w:rPr>
          <w:rFonts w:asciiTheme="majorBidi" w:hAnsiTheme="majorBidi" w:cstheme="majorBidi"/>
          <w:sz w:val="24"/>
          <w:szCs w:val="24"/>
        </w:rPr>
      </w:pPr>
    </w:p>
    <w:p w14:paraId="72F4F9BD" w14:textId="77777777" w:rsidR="00D73FED" w:rsidRDefault="008A7E8F" w:rsidP="00E75255">
      <w:pPr>
        <w:jc w:val="both"/>
        <w:rPr>
          <w:rFonts w:asciiTheme="majorBidi" w:hAnsiTheme="majorBidi" w:cstheme="majorBidi"/>
          <w:sz w:val="24"/>
          <w:szCs w:val="24"/>
        </w:rPr>
      </w:pPr>
      <w:r>
        <w:rPr>
          <w:rFonts w:asciiTheme="majorBidi" w:hAnsiTheme="majorBidi" w:cstheme="majorBidi"/>
          <w:sz w:val="24"/>
          <w:szCs w:val="24"/>
        </w:rPr>
        <w:t>Transportation CO</w:t>
      </w:r>
      <w:r>
        <w:rPr>
          <w:rFonts w:asciiTheme="majorBidi" w:hAnsiTheme="majorBidi" w:cstheme="majorBidi"/>
          <w:sz w:val="24"/>
          <w:szCs w:val="24"/>
          <w:vertAlign w:val="subscript"/>
        </w:rPr>
        <w:t>2</w:t>
      </w:r>
      <w:r>
        <w:rPr>
          <w:rFonts w:asciiTheme="majorBidi" w:hAnsiTheme="majorBidi" w:cstheme="majorBidi"/>
          <w:sz w:val="24"/>
          <w:szCs w:val="24"/>
        </w:rPr>
        <w:t xml:space="preserve"> emissions include</w:t>
      </w:r>
      <w:r w:rsidR="00322AB9">
        <w:rPr>
          <w:rFonts w:asciiTheme="majorBidi" w:hAnsiTheme="majorBidi" w:cstheme="majorBidi"/>
          <w:sz w:val="24"/>
          <w:szCs w:val="24"/>
        </w:rPr>
        <w:t xml:space="preserve"> </w:t>
      </w:r>
      <w:r>
        <w:rPr>
          <w:rFonts w:asciiTheme="majorBidi" w:hAnsiTheme="majorBidi" w:cstheme="majorBidi"/>
          <w:sz w:val="24"/>
          <w:szCs w:val="24"/>
        </w:rPr>
        <w:t>heavy duty vehicles</w:t>
      </w:r>
      <w:r w:rsidR="00322AB9">
        <w:rPr>
          <w:rFonts w:asciiTheme="majorBidi" w:hAnsiTheme="majorBidi" w:cstheme="majorBidi"/>
          <w:sz w:val="24"/>
          <w:szCs w:val="24"/>
        </w:rPr>
        <w:t xml:space="preserve">, yet the </w:t>
      </w:r>
      <w:r w:rsidR="00146515">
        <w:rPr>
          <w:rFonts w:asciiTheme="majorBidi" w:hAnsiTheme="majorBidi" w:cstheme="majorBidi"/>
          <w:sz w:val="24"/>
          <w:szCs w:val="24"/>
        </w:rPr>
        <w:t>constantly rising trend point to</w:t>
      </w:r>
      <w:r w:rsidR="00322AB9">
        <w:rPr>
          <w:rFonts w:asciiTheme="majorBidi" w:hAnsiTheme="majorBidi" w:cstheme="majorBidi"/>
          <w:sz w:val="24"/>
          <w:szCs w:val="24"/>
        </w:rPr>
        <w:t xml:space="preserve"> the need for curbing the increasing petrol and di</w:t>
      </w:r>
      <w:r w:rsidR="00146515">
        <w:rPr>
          <w:rFonts w:asciiTheme="majorBidi" w:hAnsiTheme="majorBidi" w:cstheme="majorBidi"/>
          <w:sz w:val="24"/>
          <w:szCs w:val="24"/>
        </w:rPr>
        <w:t xml:space="preserve">esel consumption indicted by </w:t>
      </w:r>
      <w:r w:rsidR="00322AB9">
        <w:rPr>
          <w:rFonts w:asciiTheme="majorBidi" w:hAnsiTheme="majorBidi" w:cstheme="majorBidi"/>
          <w:sz w:val="24"/>
          <w:szCs w:val="24"/>
        </w:rPr>
        <w:t xml:space="preserve"> increasing emissions.</w:t>
      </w:r>
      <w:r w:rsidR="00560D5C">
        <w:rPr>
          <w:rFonts w:asciiTheme="majorBidi" w:hAnsiTheme="majorBidi" w:cstheme="majorBidi"/>
          <w:sz w:val="24"/>
          <w:szCs w:val="24"/>
        </w:rPr>
        <w:t xml:space="preserve">  I</w:t>
      </w:r>
      <w:r w:rsidR="00560D5C" w:rsidRPr="00560D5C">
        <w:rPr>
          <w:rFonts w:asciiTheme="majorBidi" w:hAnsiTheme="majorBidi" w:cstheme="majorBidi"/>
          <w:sz w:val="24"/>
          <w:szCs w:val="24"/>
        </w:rPr>
        <w:t>mproving the fuel</w:t>
      </w:r>
      <w:r w:rsidR="00560D5C">
        <w:rPr>
          <w:rFonts w:asciiTheme="majorBidi" w:hAnsiTheme="majorBidi" w:cstheme="majorBidi"/>
          <w:sz w:val="24"/>
          <w:szCs w:val="24"/>
        </w:rPr>
        <w:t xml:space="preserve"> consumption/economy of LDVs fleet</w:t>
      </w:r>
      <w:r w:rsidR="00560D5C" w:rsidRPr="00560D5C">
        <w:rPr>
          <w:rFonts w:asciiTheme="majorBidi" w:hAnsiTheme="majorBidi" w:cstheme="majorBidi"/>
          <w:sz w:val="24"/>
          <w:szCs w:val="24"/>
        </w:rPr>
        <w:t xml:space="preserve"> in Morocco</w:t>
      </w:r>
      <w:r w:rsidR="00560D5C">
        <w:rPr>
          <w:rFonts w:asciiTheme="majorBidi" w:hAnsiTheme="majorBidi" w:cstheme="majorBidi"/>
          <w:sz w:val="24"/>
          <w:szCs w:val="24"/>
        </w:rPr>
        <w:t xml:space="preserve"> should thus be highlighted in Moroccan energy policy and transportation agenda</w:t>
      </w:r>
    </w:p>
    <w:p w14:paraId="3B1DCD8F" w14:textId="77777777" w:rsidR="009F3A9F" w:rsidRDefault="00F76E32" w:rsidP="00E75255">
      <w:pPr>
        <w:jc w:val="both"/>
        <w:rPr>
          <w:rFonts w:asciiTheme="majorBidi" w:hAnsiTheme="majorBidi" w:cstheme="majorBidi"/>
          <w:sz w:val="24"/>
          <w:szCs w:val="24"/>
        </w:rPr>
      </w:pPr>
      <w:r>
        <w:rPr>
          <w:rFonts w:asciiTheme="majorBidi" w:hAnsiTheme="majorBidi" w:cstheme="majorBidi"/>
          <w:sz w:val="24"/>
          <w:szCs w:val="24"/>
        </w:rPr>
        <w:t>The discrepancy between the average co</w:t>
      </w:r>
      <w:r>
        <w:rPr>
          <w:rFonts w:asciiTheme="majorBidi" w:hAnsiTheme="majorBidi" w:cstheme="majorBidi"/>
          <w:sz w:val="24"/>
          <w:szCs w:val="24"/>
          <w:vertAlign w:val="subscript"/>
        </w:rPr>
        <w:t>2</w:t>
      </w:r>
      <w:r>
        <w:rPr>
          <w:rFonts w:asciiTheme="majorBidi" w:hAnsiTheme="majorBidi" w:cstheme="majorBidi"/>
          <w:sz w:val="24"/>
          <w:szCs w:val="24"/>
        </w:rPr>
        <w:t xml:space="preserve"> emissions curve and weighted average one show</w:t>
      </w:r>
      <w:r w:rsidR="00AB4106">
        <w:rPr>
          <w:rFonts w:asciiTheme="majorBidi" w:hAnsiTheme="majorBidi" w:cstheme="majorBidi"/>
          <w:sz w:val="24"/>
          <w:szCs w:val="24"/>
        </w:rPr>
        <w:t>s</w:t>
      </w:r>
      <w:r>
        <w:rPr>
          <w:rFonts w:asciiTheme="majorBidi" w:hAnsiTheme="majorBidi" w:cstheme="majorBidi"/>
          <w:sz w:val="24"/>
          <w:szCs w:val="24"/>
        </w:rPr>
        <w:t xml:space="preserve"> the presence of a room for</w:t>
      </w:r>
      <w:r w:rsidR="00560D5C">
        <w:rPr>
          <w:rFonts w:asciiTheme="majorBidi" w:hAnsiTheme="majorBidi" w:cstheme="majorBidi"/>
          <w:sz w:val="24"/>
          <w:szCs w:val="24"/>
        </w:rPr>
        <w:t xml:space="preserve"> improvements</w:t>
      </w:r>
      <w:r w:rsidR="00AB4106">
        <w:rPr>
          <w:rFonts w:asciiTheme="majorBidi" w:hAnsiTheme="majorBidi" w:cstheme="majorBidi"/>
          <w:sz w:val="24"/>
          <w:szCs w:val="24"/>
        </w:rPr>
        <w:t>.</w:t>
      </w:r>
      <w:r w:rsidR="00560D5C">
        <w:rPr>
          <w:rFonts w:asciiTheme="majorBidi" w:hAnsiTheme="majorBidi" w:cstheme="majorBidi"/>
          <w:sz w:val="24"/>
          <w:szCs w:val="24"/>
        </w:rPr>
        <w:t xml:space="preserve"> The Moroccan export oriented automotive industry which satisfies part of the domestic demand</w:t>
      </w:r>
      <w:r w:rsidR="00553C2A">
        <w:rPr>
          <w:rFonts w:asciiTheme="majorBidi" w:hAnsiTheme="majorBidi" w:cstheme="majorBidi"/>
          <w:sz w:val="24"/>
          <w:szCs w:val="24"/>
        </w:rPr>
        <w:t xml:space="preserve"> as well</w:t>
      </w:r>
      <w:r w:rsidR="00560D5C">
        <w:rPr>
          <w:rFonts w:asciiTheme="majorBidi" w:hAnsiTheme="majorBidi" w:cstheme="majorBidi"/>
          <w:sz w:val="24"/>
          <w:szCs w:val="24"/>
        </w:rPr>
        <w:t xml:space="preserve"> puts limits on the possibility of introducing fuel consumption/economy standards</w:t>
      </w:r>
      <w:r w:rsidR="009A5F27">
        <w:rPr>
          <w:rFonts w:asciiTheme="majorBidi" w:hAnsiTheme="majorBidi" w:cstheme="majorBidi"/>
          <w:sz w:val="24"/>
          <w:szCs w:val="24"/>
        </w:rPr>
        <w:t xml:space="preserve"> so as not affect the competiveness of the Moroccan nascent </w:t>
      </w:r>
      <w:r w:rsidR="00415255">
        <w:rPr>
          <w:rFonts w:asciiTheme="majorBidi" w:hAnsiTheme="majorBidi" w:cstheme="majorBidi"/>
          <w:sz w:val="24"/>
          <w:szCs w:val="24"/>
        </w:rPr>
        <w:t xml:space="preserve">automotive industry. </w:t>
      </w:r>
      <w:r w:rsidR="004E71F6">
        <w:rPr>
          <w:rFonts w:asciiTheme="majorBidi" w:hAnsiTheme="majorBidi" w:cstheme="majorBidi"/>
          <w:sz w:val="24"/>
          <w:szCs w:val="24"/>
        </w:rPr>
        <w:t>On the flip side, h</w:t>
      </w:r>
      <w:r w:rsidR="00553C2A">
        <w:rPr>
          <w:rFonts w:asciiTheme="majorBidi" w:hAnsiTheme="majorBidi" w:cstheme="majorBidi"/>
          <w:sz w:val="24"/>
          <w:szCs w:val="24"/>
        </w:rPr>
        <w:t>owever, Morocco is not a</w:t>
      </w:r>
      <w:r w:rsidR="004E71F6">
        <w:rPr>
          <w:rFonts w:asciiTheme="majorBidi" w:hAnsiTheme="majorBidi" w:cstheme="majorBidi"/>
          <w:sz w:val="24"/>
          <w:szCs w:val="24"/>
        </w:rPr>
        <w:t xml:space="preserve"> </w:t>
      </w:r>
      <w:r w:rsidR="00553C2A">
        <w:rPr>
          <w:rFonts w:asciiTheme="majorBidi" w:hAnsiTheme="majorBidi" w:cstheme="majorBidi"/>
          <w:sz w:val="24"/>
          <w:szCs w:val="24"/>
        </w:rPr>
        <w:t>“</w:t>
      </w:r>
      <w:r w:rsidR="004E71F6" w:rsidRPr="00553C2A">
        <w:rPr>
          <w:rFonts w:asciiTheme="majorBidi" w:hAnsiTheme="majorBidi" w:cstheme="majorBidi"/>
          <w:i/>
          <w:iCs/>
          <w:sz w:val="24"/>
          <w:szCs w:val="24"/>
        </w:rPr>
        <w:t>Maquiladora</w:t>
      </w:r>
      <w:r w:rsidR="00553C2A">
        <w:rPr>
          <w:rFonts w:asciiTheme="majorBidi" w:hAnsiTheme="majorBidi" w:cstheme="majorBidi"/>
          <w:sz w:val="24"/>
          <w:szCs w:val="24"/>
        </w:rPr>
        <w:t>” hub</w:t>
      </w:r>
      <w:r w:rsidR="004E71F6">
        <w:rPr>
          <w:rFonts w:asciiTheme="majorBidi" w:hAnsiTheme="majorBidi" w:cstheme="majorBidi"/>
          <w:sz w:val="24"/>
          <w:szCs w:val="24"/>
        </w:rPr>
        <w:t xml:space="preserve"> </w:t>
      </w:r>
      <w:r w:rsidR="00553C2A">
        <w:rPr>
          <w:rFonts w:asciiTheme="majorBidi" w:hAnsiTheme="majorBidi" w:cstheme="majorBidi"/>
          <w:sz w:val="24"/>
          <w:szCs w:val="24"/>
        </w:rPr>
        <w:t>since government policies</w:t>
      </w:r>
      <w:r w:rsidR="00551000">
        <w:rPr>
          <w:rFonts w:asciiTheme="majorBidi" w:hAnsiTheme="majorBidi" w:cstheme="majorBidi"/>
          <w:sz w:val="24"/>
          <w:szCs w:val="24"/>
        </w:rPr>
        <w:t xml:space="preserve"> aiming at embedding technology and building second and third tiers automotive industries gives the Moroccan government some leverage in regulating the automotive market. </w:t>
      </w:r>
      <w:r w:rsidR="00553C2A">
        <w:rPr>
          <w:rFonts w:asciiTheme="majorBidi" w:hAnsiTheme="majorBidi" w:cstheme="majorBidi"/>
          <w:sz w:val="24"/>
          <w:szCs w:val="24"/>
        </w:rPr>
        <w:t xml:space="preserve"> Morocco’s access to diversified markets while being</w:t>
      </w:r>
      <w:r w:rsidR="008675E7">
        <w:rPr>
          <w:rFonts w:asciiTheme="majorBidi" w:hAnsiTheme="majorBidi" w:cstheme="majorBidi"/>
          <w:sz w:val="24"/>
          <w:szCs w:val="24"/>
        </w:rPr>
        <w:t xml:space="preserve"> located at the junction of</w:t>
      </w:r>
      <w:r w:rsidR="00553C2A">
        <w:rPr>
          <w:rFonts w:asciiTheme="majorBidi" w:hAnsiTheme="majorBidi" w:cstheme="majorBidi"/>
          <w:sz w:val="24"/>
          <w:szCs w:val="24"/>
        </w:rPr>
        <w:t xml:space="preserve"> Euro</w:t>
      </w:r>
      <w:r w:rsidR="00551000">
        <w:rPr>
          <w:rFonts w:asciiTheme="majorBidi" w:hAnsiTheme="majorBidi" w:cstheme="majorBidi"/>
          <w:sz w:val="24"/>
          <w:szCs w:val="24"/>
        </w:rPr>
        <w:t>pe and Africa takes this purport</w:t>
      </w:r>
      <w:r w:rsidR="008675E7">
        <w:rPr>
          <w:rFonts w:asciiTheme="majorBidi" w:hAnsiTheme="majorBidi" w:cstheme="majorBidi"/>
          <w:sz w:val="24"/>
          <w:szCs w:val="24"/>
        </w:rPr>
        <w:t>ed leverage a step further</w:t>
      </w:r>
      <w:r w:rsidR="00551000">
        <w:rPr>
          <w:rFonts w:asciiTheme="majorBidi" w:hAnsiTheme="majorBidi" w:cstheme="majorBidi"/>
          <w:sz w:val="24"/>
          <w:szCs w:val="24"/>
        </w:rPr>
        <w:t>.</w:t>
      </w:r>
      <w:r w:rsidR="00B72EF9">
        <w:rPr>
          <w:rFonts w:asciiTheme="majorBidi" w:hAnsiTheme="majorBidi" w:cstheme="majorBidi"/>
          <w:sz w:val="24"/>
          <w:szCs w:val="24"/>
        </w:rPr>
        <w:t xml:space="preserve"> </w:t>
      </w:r>
    </w:p>
    <w:p w14:paraId="0163B135" w14:textId="77777777" w:rsidR="00AB4106" w:rsidRDefault="00B72EF9" w:rsidP="00E75255">
      <w:pPr>
        <w:jc w:val="both"/>
        <w:rPr>
          <w:rFonts w:asciiTheme="majorBidi" w:hAnsiTheme="majorBidi" w:cstheme="majorBidi"/>
          <w:sz w:val="24"/>
          <w:szCs w:val="24"/>
        </w:rPr>
      </w:pPr>
      <w:r>
        <w:rPr>
          <w:rFonts w:asciiTheme="majorBidi" w:hAnsiTheme="majorBidi" w:cstheme="majorBidi"/>
          <w:sz w:val="24"/>
          <w:szCs w:val="24"/>
        </w:rPr>
        <w:t>The targeted European market is drifting towards stricter fuel consumption/economy standards</w:t>
      </w:r>
      <w:r w:rsidR="007B2DBD">
        <w:rPr>
          <w:rFonts w:asciiTheme="majorBidi" w:hAnsiTheme="majorBidi" w:cstheme="majorBidi"/>
          <w:sz w:val="24"/>
          <w:szCs w:val="24"/>
        </w:rPr>
        <w:t>; a trend which Morocco can invest in to gain a strategic advantage in what is perceived as the future trump card of its economy. Morocco entertains a huge and diversified public transportation network including Trams and 3 million public service buses of which  as much as a half are found in Casablanca and Rabat where commute levels peak, whereas the eastern and southern parts</w:t>
      </w:r>
      <w:r w:rsidR="009F3A9F">
        <w:rPr>
          <w:rFonts w:asciiTheme="majorBidi" w:hAnsiTheme="majorBidi" w:cstheme="majorBidi"/>
          <w:sz w:val="24"/>
          <w:szCs w:val="24"/>
        </w:rPr>
        <w:t xml:space="preserve"> of the country</w:t>
      </w:r>
      <w:r w:rsidR="007B2DBD">
        <w:rPr>
          <w:rFonts w:asciiTheme="majorBidi" w:hAnsiTheme="majorBidi" w:cstheme="majorBidi"/>
          <w:sz w:val="24"/>
          <w:szCs w:val="24"/>
        </w:rPr>
        <w:t xml:space="preserve"> have much lower commute levels</w:t>
      </w:r>
      <w:r w:rsidR="009F3A9F">
        <w:rPr>
          <w:rFonts w:asciiTheme="majorBidi" w:hAnsiTheme="majorBidi" w:cstheme="majorBidi"/>
          <w:sz w:val="24"/>
          <w:szCs w:val="24"/>
        </w:rPr>
        <w:t xml:space="preserve">. Thus, an enabling condition for policies that ultimately </w:t>
      </w:r>
      <w:r w:rsidR="00515888">
        <w:rPr>
          <w:rFonts w:asciiTheme="majorBidi" w:hAnsiTheme="majorBidi" w:cstheme="majorBidi"/>
          <w:sz w:val="24"/>
          <w:szCs w:val="24"/>
        </w:rPr>
        <w:t>aim at curtailing motor</w:t>
      </w:r>
      <w:r w:rsidR="009F3A9F">
        <w:rPr>
          <w:rFonts w:asciiTheme="majorBidi" w:hAnsiTheme="majorBidi" w:cstheme="majorBidi"/>
          <w:sz w:val="24"/>
          <w:szCs w:val="24"/>
        </w:rPr>
        <w:t xml:space="preserve"> fuel consumption is in place as it is. </w:t>
      </w:r>
    </w:p>
    <w:p w14:paraId="6891F1F4" w14:textId="77777777" w:rsidR="00DE0BBE" w:rsidRDefault="00E23510" w:rsidP="00E75255">
      <w:pPr>
        <w:jc w:val="both"/>
        <w:rPr>
          <w:rFonts w:asciiTheme="majorBidi" w:hAnsiTheme="majorBidi" w:cstheme="majorBidi"/>
          <w:sz w:val="24"/>
          <w:szCs w:val="24"/>
        </w:rPr>
      </w:pPr>
      <w:r>
        <w:rPr>
          <w:rFonts w:asciiTheme="majorBidi" w:hAnsiTheme="majorBidi" w:cstheme="majorBidi"/>
          <w:sz w:val="24"/>
          <w:szCs w:val="24"/>
        </w:rPr>
        <w:t xml:space="preserve">The Moroccan </w:t>
      </w:r>
      <w:r w:rsidR="00AB4FA2">
        <w:rPr>
          <w:rFonts w:asciiTheme="majorBidi" w:hAnsiTheme="majorBidi" w:cstheme="majorBidi"/>
          <w:sz w:val="24"/>
          <w:szCs w:val="24"/>
        </w:rPr>
        <w:t xml:space="preserve">orientation towards an increasingly liberalized economy, free trade agreements and vision for the future all rule out the possibility of the implementation import restrictions </w:t>
      </w:r>
      <w:r w:rsidR="00AB4FA2">
        <w:rPr>
          <w:rFonts w:asciiTheme="majorBidi" w:hAnsiTheme="majorBidi" w:cstheme="majorBidi"/>
          <w:sz w:val="24"/>
          <w:szCs w:val="24"/>
        </w:rPr>
        <w:lastRenderedPageBreak/>
        <w:t>instruments</w:t>
      </w:r>
      <w:r w:rsidR="002B7E88">
        <w:rPr>
          <w:rFonts w:asciiTheme="majorBidi" w:hAnsiTheme="majorBidi" w:cstheme="majorBidi"/>
          <w:sz w:val="24"/>
          <w:szCs w:val="24"/>
        </w:rPr>
        <w:t xml:space="preserve">; market-based regulation is what suits the Moroccan policy environment. </w:t>
      </w:r>
      <w:r w:rsidR="00AB4FA2">
        <w:rPr>
          <w:rFonts w:asciiTheme="majorBidi" w:hAnsiTheme="majorBidi" w:cstheme="majorBidi"/>
          <w:sz w:val="24"/>
          <w:szCs w:val="24"/>
        </w:rPr>
        <w:t xml:space="preserve"> A combination </w:t>
      </w:r>
      <w:r w:rsidR="009C4974">
        <w:rPr>
          <w:rFonts w:asciiTheme="majorBidi" w:hAnsiTheme="majorBidi" w:cstheme="majorBidi"/>
          <w:sz w:val="24"/>
          <w:szCs w:val="24"/>
        </w:rPr>
        <w:t xml:space="preserve">of registration fees and vehicle taxation is already implemented. </w:t>
      </w:r>
    </w:p>
    <w:p w14:paraId="41FC0438" w14:textId="77777777" w:rsidR="00E23510" w:rsidRDefault="009C4974" w:rsidP="00E75255">
      <w:pPr>
        <w:jc w:val="both"/>
        <w:rPr>
          <w:rFonts w:asciiTheme="majorBidi" w:hAnsiTheme="majorBidi" w:cstheme="majorBidi"/>
          <w:sz w:val="24"/>
          <w:szCs w:val="24"/>
        </w:rPr>
      </w:pPr>
      <w:r>
        <w:rPr>
          <w:rFonts w:asciiTheme="majorBidi" w:hAnsiTheme="majorBidi" w:cstheme="majorBidi"/>
          <w:sz w:val="24"/>
          <w:szCs w:val="24"/>
        </w:rPr>
        <w:t>However</w:t>
      </w:r>
      <w:r w:rsidR="00703763">
        <w:rPr>
          <w:rFonts w:asciiTheme="majorBidi" w:hAnsiTheme="majorBidi" w:cstheme="majorBidi"/>
          <w:sz w:val="24"/>
          <w:szCs w:val="24"/>
        </w:rPr>
        <w:t xml:space="preserve"> the taxation and registration fees</w:t>
      </w:r>
      <w:r>
        <w:rPr>
          <w:rFonts w:asciiTheme="majorBidi" w:hAnsiTheme="majorBidi" w:cstheme="majorBidi"/>
          <w:sz w:val="24"/>
          <w:szCs w:val="24"/>
        </w:rPr>
        <w:t>, being solely based on vehicles’ horsepower, though a good step as such,</w:t>
      </w:r>
      <w:r w:rsidR="00703763">
        <w:rPr>
          <w:rFonts w:asciiTheme="majorBidi" w:hAnsiTheme="majorBidi" w:cstheme="majorBidi"/>
          <w:sz w:val="24"/>
          <w:szCs w:val="24"/>
        </w:rPr>
        <w:t xml:space="preserve"> are</w:t>
      </w:r>
      <w:r w:rsidR="002B358C">
        <w:rPr>
          <w:rFonts w:asciiTheme="majorBidi" w:hAnsiTheme="majorBidi" w:cstheme="majorBidi"/>
          <w:sz w:val="24"/>
          <w:szCs w:val="24"/>
        </w:rPr>
        <w:t xml:space="preserve"> not</w:t>
      </w:r>
      <w:r w:rsidR="002779F4">
        <w:rPr>
          <w:rFonts w:asciiTheme="majorBidi" w:hAnsiTheme="majorBidi" w:cstheme="majorBidi"/>
          <w:sz w:val="24"/>
          <w:szCs w:val="24"/>
        </w:rPr>
        <w:t xml:space="preserve"> suffice to bring about Fuel consumption/efficiency averages close to the ceiling of its constraints. This is because </w:t>
      </w:r>
      <w:r w:rsidR="00603601">
        <w:rPr>
          <w:rFonts w:asciiTheme="majorBidi" w:hAnsiTheme="majorBidi" w:cstheme="majorBidi"/>
          <w:sz w:val="24"/>
          <w:szCs w:val="24"/>
        </w:rPr>
        <w:t>lower horsepower variant sold in Morocco and other variants</w:t>
      </w:r>
      <w:r w:rsidR="00D956F0">
        <w:rPr>
          <w:rFonts w:asciiTheme="majorBidi" w:hAnsiTheme="majorBidi" w:cstheme="majorBidi"/>
          <w:sz w:val="24"/>
          <w:szCs w:val="24"/>
        </w:rPr>
        <w:t xml:space="preserve"> is not</w:t>
      </w:r>
      <w:r w:rsidR="00DE0BBE">
        <w:rPr>
          <w:rFonts w:asciiTheme="majorBidi" w:hAnsiTheme="majorBidi" w:cstheme="majorBidi"/>
          <w:sz w:val="24"/>
          <w:szCs w:val="24"/>
        </w:rPr>
        <w:t xml:space="preserve"> much significant as far as </w:t>
      </w:r>
      <w:r w:rsidR="00D956F0">
        <w:rPr>
          <w:rFonts w:asciiTheme="majorBidi" w:hAnsiTheme="majorBidi" w:cstheme="majorBidi"/>
          <w:sz w:val="24"/>
          <w:szCs w:val="24"/>
        </w:rPr>
        <w:t>f</w:t>
      </w:r>
      <w:r w:rsidR="00603601">
        <w:rPr>
          <w:rFonts w:asciiTheme="majorBidi" w:hAnsiTheme="majorBidi" w:cstheme="majorBidi"/>
          <w:sz w:val="24"/>
          <w:szCs w:val="24"/>
        </w:rPr>
        <w:t xml:space="preserve">uel consumption/economy is concerned. </w:t>
      </w:r>
      <w:r w:rsidR="008D2D4F">
        <w:rPr>
          <w:rFonts w:asciiTheme="majorBidi" w:hAnsiTheme="majorBidi" w:cstheme="majorBidi"/>
          <w:sz w:val="24"/>
          <w:szCs w:val="24"/>
        </w:rPr>
        <w:t>Instea</w:t>
      </w:r>
      <w:r w:rsidR="002B358C">
        <w:rPr>
          <w:rFonts w:asciiTheme="majorBidi" w:hAnsiTheme="majorBidi" w:cstheme="majorBidi"/>
          <w:sz w:val="24"/>
          <w:szCs w:val="24"/>
        </w:rPr>
        <w:t>d, a combination of e</w:t>
      </w:r>
      <w:r w:rsidR="002A74D1">
        <w:rPr>
          <w:rFonts w:asciiTheme="majorBidi" w:hAnsiTheme="majorBidi" w:cstheme="majorBidi"/>
          <w:sz w:val="24"/>
          <w:szCs w:val="24"/>
        </w:rPr>
        <w:t>ngine size and</w:t>
      </w:r>
      <w:r w:rsidR="008D2D4F">
        <w:rPr>
          <w:rFonts w:asciiTheme="majorBidi" w:hAnsiTheme="majorBidi" w:cstheme="majorBidi"/>
          <w:sz w:val="24"/>
          <w:szCs w:val="24"/>
        </w:rPr>
        <w:t xml:space="preserve"> we</w:t>
      </w:r>
      <w:r w:rsidR="002A74D1">
        <w:rPr>
          <w:rFonts w:asciiTheme="majorBidi" w:hAnsiTheme="majorBidi" w:cstheme="majorBidi"/>
          <w:sz w:val="24"/>
          <w:szCs w:val="24"/>
        </w:rPr>
        <w:t xml:space="preserve">ight should be </w:t>
      </w:r>
      <w:r w:rsidR="008D2D4F">
        <w:rPr>
          <w:rFonts w:asciiTheme="majorBidi" w:hAnsiTheme="majorBidi" w:cstheme="majorBidi"/>
          <w:sz w:val="24"/>
          <w:szCs w:val="24"/>
        </w:rPr>
        <w:t>the basis of annual vehicle taxation and registration fees.</w:t>
      </w:r>
      <w:r w:rsidR="002A74D1">
        <w:rPr>
          <w:rFonts w:asciiTheme="majorBidi" w:hAnsiTheme="majorBidi" w:cstheme="majorBidi"/>
          <w:sz w:val="24"/>
          <w:szCs w:val="24"/>
        </w:rPr>
        <w:t xml:space="preserve"> </w:t>
      </w:r>
      <w:r w:rsidR="00AD5186">
        <w:rPr>
          <w:rFonts w:asciiTheme="majorBidi" w:hAnsiTheme="majorBidi" w:cstheme="majorBidi"/>
          <w:sz w:val="24"/>
          <w:szCs w:val="24"/>
        </w:rPr>
        <w:t>Anoth</w:t>
      </w:r>
      <w:r w:rsidR="00400228">
        <w:rPr>
          <w:rFonts w:asciiTheme="majorBidi" w:hAnsiTheme="majorBidi" w:cstheme="majorBidi"/>
          <w:sz w:val="24"/>
          <w:szCs w:val="24"/>
        </w:rPr>
        <w:t>er intervention</w:t>
      </w:r>
      <w:r w:rsidR="0039591C">
        <w:rPr>
          <w:rFonts w:asciiTheme="majorBidi" w:hAnsiTheme="majorBidi" w:cstheme="majorBidi"/>
          <w:sz w:val="24"/>
          <w:szCs w:val="24"/>
        </w:rPr>
        <w:t>,</w:t>
      </w:r>
      <w:r w:rsidR="00400228">
        <w:rPr>
          <w:rFonts w:asciiTheme="majorBidi" w:hAnsiTheme="majorBidi" w:cstheme="majorBidi"/>
          <w:sz w:val="24"/>
          <w:szCs w:val="24"/>
        </w:rPr>
        <w:t xml:space="preserve"> which must one way or another be synchronized with the advancements in domestic industr</w:t>
      </w:r>
      <w:r w:rsidR="0039591C">
        <w:rPr>
          <w:rFonts w:asciiTheme="majorBidi" w:hAnsiTheme="majorBidi" w:cstheme="majorBidi"/>
          <w:sz w:val="24"/>
          <w:szCs w:val="24"/>
        </w:rPr>
        <w:t>y, is</w:t>
      </w:r>
      <w:r w:rsidR="00571367">
        <w:rPr>
          <w:rFonts w:asciiTheme="majorBidi" w:hAnsiTheme="majorBidi" w:cstheme="majorBidi"/>
          <w:sz w:val="24"/>
          <w:szCs w:val="24"/>
        </w:rPr>
        <w:t xml:space="preserve"> the</w:t>
      </w:r>
      <w:r w:rsidR="0039591C">
        <w:rPr>
          <w:rFonts w:asciiTheme="majorBidi" w:hAnsiTheme="majorBidi" w:cstheme="majorBidi"/>
          <w:sz w:val="24"/>
          <w:szCs w:val="24"/>
        </w:rPr>
        <w:t xml:space="preserve"> design of policies targeting technological attributes of domestic vehicles production</w:t>
      </w:r>
      <w:r w:rsidR="0013629E">
        <w:rPr>
          <w:rFonts w:asciiTheme="majorBidi" w:hAnsiTheme="majorBidi" w:cstheme="majorBidi"/>
          <w:sz w:val="24"/>
          <w:szCs w:val="24"/>
        </w:rPr>
        <w:t xml:space="preserve"> towards the end of employing  optimum fuel efficient vehicle </w:t>
      </w:r>
      <w:r w:rsidR="002B358C">
        <w:rPr>
          <w:rFonts w:asciiTheme="majorBidi" w:hAnsiTheme="majorBidi" w:cstheme="majorBidi"/>
          <w:sz w:val="24"/>
          <w:szCs w:val="24"/>
        </w:rPr>
        <w:t xml:space="preserve"> technological </w:t>
      </w:r>
      <w:r w:rsidR="0013629E">
        <w:rPr>
          <w:rFonts w:asciiTheme="majorBidi" w:hAnsiTheme="majorBidi" w:cstheme="majorBidi"/>
          <w:sz w:val="24"/>
          <w:szCs w:val="24"/>
        </w:rPr>
        <w:t xml:space="preserve">attributes combo. </w:t>
      </w:r>
    </w:p>
    <w:p w14:paraId="7C3AB0D5" w14:textId="77777777" w:rsidR="0013629E" w:rsidRDefault="0013629E" w:rsidP="00E75255">
      <w:pPr>
        <w:jc w:val="both"/>
        <w:rPr>
          <w:rFonts w:asciiTheme="majorBidi" w:hAnsiTheme="majorBidi" w:cstheme="majorBidi"/>
          <w:sz w:val="24"/>
          <w:szCs w:val="24"/>
        </w:rPr>
      </w:pPr>
      <w:r>
        <w:rPr>
          <w:rFonts w:asciiTheme="majorBidi" w:hAnsiTheme="majorBidi" w:cstheme="majorBidi"/>
          <w:sz w:val="24"/>
          <w:szCs w:val="24"/>
        </w:rPr>
        <w:t xml:space="preserve">The experiences and knowledge of GFEI render it a candidate for playing an important role in a Moroccan fuel consumption/economy policy. </w:t>
      </w:r>
      <w:r w:rsidR="00571367">
        <w:rPr>
          <w:rFonts w:asciiTheme="majorBidi" w:hAnsiTheme="majorBidi" w:cstheme="majorBidi"/>
          <w:sz w:val="24"/>
          <w:szCs w:val="24"/>
        </w:rPr>
        <w:t>With the current and prospective levels of motor fuel consumption ta</w:t>
      </w:r>
      <w:r w:rsidR="00662066">
        <w:rPr>
          <w:rFonts w:asciiTheme="majorBidi" w:hAnsiTheme="majorBidi" w:cstheme="majorBidi"/>
          <w:sz w:val="24"/>
          <w:szCs w:val="24"/>
        </w:rPr>
        <w:t>ken as an overarching framework</w:t>
      </w:r>
      <w:r w:rsidR="00814566">
        <w:rPr>
          <w:rFonts w:asciiTheme="majorBidi" w:hAnsiTheme="majorBidi" w:cstheme="majorBidi"/>
          <w:sz w:val="24"/>
          <w:szCs w:val="24"/>
        </w:rPr>
        <w:t xml:space="preserve"> and the right market signals received from sold models and variants in Morocco</w:t>
      </w:r>
      <w:r w:rsidR="00662066">
        <w:rPr>
          <w:rFonts w:asciiTheme="majorBidi" w:hAnsiTheme="majorBidi" w:cstheme="majorBidi"/>
          <w:sz w:val="24"/>
          <w:szCs w:val="24"/>
        </w:rPr>
        <w:t xml:space="preserve">, GFEI can come out with a proposal for reducing fuel consumption through in absolute </w:t>
      </w:r>
      <w:r w:rsidR="002B7E88">
        <w:rPr>
          <w:rFonts w:asciiTheme="majorBidi" w:hAnsiTheme="majorBidi" w:cstheme="majorBidi"/>
          <w:sz w:val="24"/>
          <w:szCs w:val="24"/>
        </w:rPr>
        <w:t>terms. This is carried out through a combination of stepped instruments, including green taxes</w:t>
      </w:r>
      <w:r w:rsidR="00703763">
        <w:rPr>
          <w:rFonts w:asciiTheme="majorBidi" w:hAnsiTheme="majorBidi" w:cstheme="majorBidi"/>
          <w:sz w:val="24"/>
          <w:szCs w:val="24"/>
        </w:rPr>
        <w:t xml:space="preserve"> for vehicles</w:t>
      </w:r>
      <w:r w:rsidR="002B7E88">
        <w:rPr>
          <w:rFonts w:asciiTheme="majorBidi" w:hAnsiTheme="majorBidi" w:cstheme="majorBidi"/>
          <w:sz w:val="24"/>
          <w:szCs w:val="24"/>
        </w:rPr>
        <w:t xml:space="preserve"> on fuel consumption levels</w:t>
      </w:r>
      <w:r w:rsidR="00703763">
        <w:rPr>
          <w:rFonts w:asciiTheme="majorBidi" w:hAnsiTheme="majorBidi" w:cstheme="majorBidi"/>
          <w:sz w:val="24"/>
          <w:szCs w:val="24"/>
        </w:rPr>
        <w:t xml:space="preserve">, </w:t>
      </w:r>
      <w:r w:rsidR="004E7E2B">
        <w:rPr>
          <w:rFonts w:asciiTheme="majorBidi" w:hAnsiTheme="majorBidi" w:cstheme="majorBidi"/>
          <w:sz w:val="24"/>
          <w:szCs w:val="24"/>
        </w:rPr>
        <w:t>more</w:t>
      </w:r>
      <w:r w:rsidR="00703763">
        <w:rPr>
          <w:rFonts w:asciiTheme="majorBidi" w:hAnsiTheme="majorBidi" w:cstheme="majorBidi"/>
          <w:sz w:val="24"/>
          <w:szCs w:val="24"/>
        </w:rPr>
        <w:t xml:space="preserve"> comprehensive annual vehicle taxation &amp; registration fees</w:t>
      </w:r>
      <w:r w:rsidR="004E7E2B">
        <w:rPr>
          <w:rFonts w:asciiTheme="majorBidi" w:hAnsiTheme="majorBidi" w:cstheme="majorBidi"/>
          <w:sz w:val="24"/>
          <w:szCs w:val="24"/>
        </w:rPr>
        <w:t xml:space="preserve">, as well as a technological attributes </w:t>
      </w:r>
      <w:r w:rsidR="005D404F">
        <w:rPr>
          <w:rFonts w:asciiTheme="majorBidi" w:hAnsiTheme="majorBidi" w:cstheme="majorBidi"/>
          <w:sz w:val="24"/>
          <w:szCs w:val="24"/>
        </w:rPr>
        <w:t>regulation of domestic industry.</w:t>
      </w:r>
    </w:p>
    <w:p w14:paraId="729EC912" w14:textId="77777777" w:rsidR="00AB4106" w:rsidRDefault="00AB4106" w:rsidP="00E75255">
      <w:pPr>
        <w:jc w:val="both"/>
        <w:rPr>
          <w:rFonts w:asciiTheme="majorBidi" w:hAnsiTheme="majorBidi" w:cstheme="majorBidi"/>
          <w:sz w:val="24"/>
          <w:szCs w:val="24"/>
        </w:rPr>
      </w:pPr>
    </w:p>
    <w:p w14:paraId="5094B4BE" w14:textId="77777777" w:rsidR="00146515" w:rsidRPr="008A7E8F" w:rsidRDefault="00F76E32" w:rsidP="00E75255">
      <w:pPr>
        <w:jc w:val="both"/>
        <w:rPr>
          <w:rFonts w:asciiTheme="majorBidi" w:hAnsiTheme="majorBidi" w:cstheme="majorBidi"/>
          <w:sz w:val="24"/>
          <w:szCs w:val="24"/>
        </w:rPr>
      </w:pPr>
      <w:r>
        <w:rPr>
          <w:rFonts w:asciiTheme="majorBidi" w:hAnsiTheme="majorBidi" w:cstheme="majorBidi"/>
          <w:sz w:val="24"/>
          <w:szCs w:val="24"/>
        </w:rPr>
        <w:t xml:space="preserve"> </w:t>
      </w:r>
    </w:p>
    <w:p w14:paraId="73E6CAF1" w14:textId="77777777" w:rsidR="008A7E8F" w:rsidRDefault="008A7E8F" w:rsidP="00E75255">
      <w:pPr>
        <w:jc w:val="both"/>
        <w:rPr>
          <w:rFonts w:asciiTheme="majorBidi" w:hAnsiTheme="majorBidi" w:cstheme="majorBidi"/>
          <w:sz w:val="24"/>
          <w:szCs w:val="24"/>
        </w:rPr>
      </w:pPr>
    </w:p>
    <w:p w14:paraId="78046B4B" w14:textId="77777777" w:rsidR="00843FDF" w:rsidRDefault="00843FDF" w:rsidP="00E75255">
      <w:pPr>
        <w:jc w:val="both"/>
        <w:rPr>
          <w:rFonts w:asciiTheme="majorBidi" w:hAnsiTheme="majorBidi" w:cstheme="majorBidi"/>
          <w:sz w:val="24"/>
          <w:szCs w:val="24"/>
        </w:rPr>
      </w:pPr>
    </w:p>
    <w:p w14:paraId="5C95243D" w14:textId="77777777" w:rsidR="00AD32A9" w:rsidRDefault="00AD32A9" w:rsidP="00E75255">
      <w:pPr>
        <w:jc w:val="both"/>
        <w:rPr>
          <w:rFonts w:asciiTheme="majorBidi" w:hAnsiTheme="majorBidi" w:cstheme="majorBidi"/>
          <w:sz w:val="24"/>
          <w:szCs w:val="24"/>
        </w:rPr>
      </w:pPr>
    </w:p>
    <w:p w14:paraId="609C2C13" w14:textId="77777777" w:rsidR="00E75255" w:rsidRDefault="00E75255">
      <w:pPr>
        <w:rPr>
          <w:rFonts w:asciiTheme="majorBidi" w:hAnsiTheme="majorBidi" w:cstheme="majorBidi"/>
          <w:b/>
          <w:bCs/>
          <w:sz w:val="24"/>
          <w:szCs w:val="24"/>
        </w:rPr>
      </w:pPr>
      <w:r>
        <w:rPr>
          <w:rFonts w:asciiTheme="majorBidi" w:hAnsiTheme="majorBidi" w:cstheme="majorBidi"/>
          <w:b/>
          <w:bCs/>
          <w:sz w:val="24"/>
          <w:szCs w:val="24"/>
        </w:rPr>
        <w:br w:type="page"/>
      </w:r>
    </w:p>
    <w:p w14:paraId="6253AEAA" w14:textId="77777777" w:rsidR="00CB72BF" w:rsidRDefault="00CB72BF" w:rsidP="00E75255">
      <w:pPr>
        <w:jc w:val="both"/>
        <w:rPr>
          <w:rFonts w:asciiTheme="majorBidi" w:hAnsiTheme="majorBidi" w:cstheme="majorBidi"/>
          <w:b/>
          <w:bCs/>
          <w:sz w:val="24"/>
          <w:szCs w:val="24"/>
        </w:rPr>
      </w:pPr>
      <w:r w:rsidRPr="001270BE">
        <w:rPr>
          <w:rFonts w:asciiTheme="majorBidi" w:hAnsiTheme="majorBidi" w:cstheme="majorBidi"/>
          <w:b/>
          <w:bCs/>
          <w:sz w:val="24"/>
          <w:szCs w:val="24"/>
        </w:rPr>
        <w:lastRenderedPageBreak/>
        <w:t>References List</w:t>
      </w:r>
    </w:p>
    <w:p w14:paraId="3F60A0D3" w14:textId="77777777" w:rsidR="00CB72BF" w:rsidRPr="00684668" w:rsidRDefault="00CB72BF" w:rsidP="00CB72BF">
      <w:pPr>
        <w:pStyle w:val="ListParagraph"/>
        <w:numPr>
          <w:ilvl w:val="0"/>
          <w:numId w:val="4"/>
        </w:numPr>
        <w:rPr>
          <w:rFonts w:asciiTheme="majorBidi" w:hAnsiTheme="majorBidi" w:cstheme="majorBidi"/>
          <w:i/>
          <w:iCs/>
          <w:sz w:val="24"/>
          <w:szCs w:val="24"/>
        </w:rPr>
      </w:pPr>
      <w:r>
        <w:rPr>
          <w:rFonts w:asciiTheme="majorBidi" w:hAnsiTheme="majorBidi" w:cstheme="majorBidi"/>
          <w:sz w:val="24"/>
          <w:szCs w:val="24"/>
        </w:rPr>
        <w:t xml:space="preserve">Center for Climate and Energy Solutions (C2ES). (2014). Federal Vehicles Standards. Available at: </w:t>
      </w:r>
      <w:hyperlink r:id="rId21" w:history="1">
        <w:r w:rsidRPr="00311DAB">
          <w:rPr>
            <w:rStyle w:val="Hyperlink"/>
            <w:rFonts w:asciiTheme="majorBidi" w:hAnsiTheme="majorBidi"/>
            <w:sz w:val="24"/>
            <w:szCs w:val="24"/>
          </w:rPr>
          <w:t>http://www.c2es.org/federal/executive/vehicle-standards</w:t>
        </w:r>
      </w:hyperlink>
      <w:r>
        <w:rPr>
          <w:rFonts w:asciiTheme="majorBidi" w:hAnsiTheme="majorBidi" w:cstheme="majorBidi"/>
          <w:sz w:val="24"/>
          <w:szCs w:val="24"/>
        </w:rPr>
        <w:t>. Accessed: September 10</w:t>
      </w:r>
      <w:r>
        <w:rPr>
          <w:rFonts w:asciiTheme="majorBidi" w:hAnsiTheme="majorBidi" w:cstheme="majorBidi"/>
          <w:sz w:val="24"/>
          <w:szCs w:val="24"/>
          <w:vertAlign w:val="superscript"/>
        </w:rPr>
        <w:t>th</w:t>
      </w:r>
      <w:r>
        <w:rPr>
          <w:rFonts w:asciiTheme="majorBidi" w:hAnsiTheme="majorBidi" w:cstheme="majorBidi"/>
          <w:sz w:val="24"/>
          <w:szCs w:val="24"/>
        </w:rPr>
        <w:t xml:space="preserve">, 2014. </w:t>
      </w:r>
    </w:p>
    <w:p w14:paraId="79069C29" w14:textId="77777777" w:rsidR="00CB72BF" w:rsidRPr="006449C0" w:rsidRDefault="00CB72BF" w:rsidP="00CB72BF">
      <w:pPr>
        <w:pStyle w:val="ListParagraph"/>
        <w:numPr>
          <w:ilvl w:val="0"/>
          <w:numId w:val="4"/>
        </w:numPr>
        <w:rPr>
          <w:rFonts w:asciiTheme="majorBidi" w:hAnsiTheme="majorBidi" w:cstheme="majorBidi"/>
          <w:i/>
          <w:iCs/>
          <w:sz w:val="24"/>
          <w:szCs w:val="24"/>
        </w:rPr>
      </w:pPr>
      <w:r>
        <w:rPr>
          <w:rFonts w:asciiTheme="majorBidi" w:hAnsiTheme="majorBidi" w:cstheme="majorBidi"/>
          <w:sz w:val="24"/>
          <w:szCs w:val="24"/>
        </w:rPr>
        <w:t>Central Intelligence Agency</w:t>
      </w:r>
      <w:r w:rsidR="00B84946">
        <w:rPr>
          <w:rFonts w:asciiTheme="majorBidi" w:hAnsiTheme="majorBidi" w:cstheme="majorBidi"/>
          <w:sz w:val="24"/>
          <w:szCs w:val="24"/>
        </w:rPr>
        <w:t xml:space="preserve"> (CIA)</w:t>
      </w:r>
      <w:r>
        <w:rPr>
          <w:rFonts w:asciiTheme="majorBidi" w:hAnsiTheme="majorBidi" w:cstheme="majorBidi"/>
          <w:sz w:val="24"/>
          <w:szCs w:val="24"/>
        </w:rPr>
        <w:t xml:space="preserve">: Tunisia (2014). Available at: </w:t>
      </w:r>
      <w:hyperlink r:id="rId22" w:history="1">
        <w:r w:rsidRPr="00311DAB">
          <w:rPr>
            <w:rStyle w:val="Hyperlink"/>
            <w:rFonts w:asciiTheme="majorBidi" w:hAnsiTheme="majorBidi"/>
            <w:sz w:val="24"/>
            <w:szCs w:val="24"/>
          </w:rPr>
          <w:t>https://www.cia.gov/library/publications/the-world-factbook/geos/ts.html</w:t>
        </w:r>
      </w:hyperlink>
      <w:r>
        <w:rPr>
          <w:rFonts w:asciiTheme="majorBidi" w:hAnsiTheme="majorBidi" w:cstheme="majorBidi"/>
          <w:sz w:val="24"/>
          <w:szCs w:val="24"/>
        </w:rPr>
        <w:t>. Accessed: July 29</w:t>
      </w:r>
      <w:r w:rsidRPr="006449C0">
        <w:rPr>
          <w:rFonts w:asciiTheme="majorBidi" w:hAnsiTheme="majorBidi" w:cstheme="majorBidi"/>
          <w:sz w:val="24"/>
          <w:szCs w:val="24"/>
          <w:vertAlign w:val="superscript"/>
        </w:rPr>
        <w:t>th</w:t>
      </w:r>
      <w:r>
        <w:rPr>
          <w:rFonts w:asciiTheme="majorBidi" w:hAnsiTheme="majorBidi" w:cstheme="majorBidi"/>
          <w:sz w:val="24"/>
          <w:szCs w:val="24"/>
        </w:rPr>
        <w:t>, 2014.</w:t>
      </w:r>
    </w:p>
    <w:p w14:paraId="0DA1C51D" w14:textId="77777777" w:rsidR="00CB72BF" w:rsidRPr="006449C0" w:rsidRDefault="00CB72BF" w:rsidP="00CB72BF">
      <w:pPr>
        <w:pStyle w:val="ListParagraph"/>
        <w:numPr>
          <w:ilvl w:val="0"/>
          <w:numId w:val="4"/>
        </w:numPr>
        <w:rPr>
          <w:rFonts w:asciiTheme="majorBidi" w:hAnsiTheme="majorBidi" w:cstheme="majorBidi"/>
          <w:i/>
          <w:iCs/>
          <w:sz w:val="24"/>
          <w:szCs w:val="24"/>
        </w:rPr>
      </w:pPr>
      <w:r>
        <w:rPr>
          <w:rFonts w:asciiTheme="majorBidi" w:hAnsiTheme="majorBidi" w:cstheme="majorBidi"/>
          <w:sz w:val="24"/>
          <w:szCs w:val="24"/>
        </w:rPr>
        <w:t>Central Intelligence Agency</w:t>
      </w:r>
      <w:r w:rsidR="00B84946">
        <w:rPr>
          <w:rFonts w:asciiTheme="majorBidi" w:hAnsiTheme="majorBidi" w:cstheme="majorBidi"/>
          <w:sz w:val="24"/>
          <w:szCs w:val="24"/>
        </w:rPr>
        <w:t xml:space="preserve"> (CIA)</w:t>
      </w:r>
      <w:r>
        <w:rPr>
          <w:rFonts w:asciiTheme="majorBidi" w:hAnsiTheme="majorBidi" w:cstheme="majorBidi"/>
          <w:sz w:val="24"/>
          <w:szCs w:val="24"/>
        </w:rPr>
        <w:t xml:space="preserve">: Morocco (2014). Available at: </w:t>
      </w:r>
      <w:hyperlink r:id="rId23" w:history="1">
        <w:r w:rsidRPr="00311DAB">
          <w:rPr>
            <w:rStyle w:val="Hyperlink"/>
            <w:rFonts w:asciiTheme="majorBidi" w:hAnsiTheme="majorBidi"/>
            <w:sz w:val="24"/>
            <w:szCs w:val="24"/>
          </w:rPr>
          <w:t>https://www.cia.gov/library/publications/the-world-factbook/geos/mo.html</w:t>
        </w:r>
      </w:hyperlink>
      <w:r>
        <w:rPr>
          <w:rFonts w:asciiTheme="majorBidi" w:hAnsiTheme="majorBidi" w:cstheme="majorBidi"/>
          <w:sz w:val="24"/>
          <w:szCs w:val="24"/>
        </w:rPr>
        <w:t>. Accessed: August 3</w:t>
      </w:r>
      <w:r>
        <w:rPr>
          <w:rFonts w:asciiTheme="majorBidi" w:hAnsiTheme="majorBidi" w:cstheme="majorBidi"/>
          <w:sz w:val="24"/>
          <w:szCs w:val="24"/>
          <w:vertAlign w:val="superscript"/>
        </w:rPr>
        <w:t>rd</w:t>
      </w:r>
      <w:r>
        <w:rPr>
          <w:rFonts w:asciiTheme="majorBidi" w:hAnsiTheme="majorBidi" w:cstheme="majorBidi"/>
          <w:sz w:val="24"/>
          <w:szCs w:val="24"/>
        </w:rPr>
        <w:t>, 2014</w:t>
      </w:r>
    </w:p>
    <w:p w14:paraId="12139286" w14:textId="77777777" w:rsidR="00CB72BF" w:rsidRPr="00684668" w:rsidRDefault="00CB72BF" w:rsidP="00CB72BF">
      <w:pPr>
        <w:pStyle w:val="ListParagraph"/>
        <w:numPr>
          <w:ilvl w:val="0"/>
          <w:numId w:val="4"/>
        </w:numPr>
        <w:rPr>
          <w:rFonts w:asciiTheme="majorBidi" w:hAnsiTheme="majorBidi" w:cstheme="majorBidi"/>
          <w:i/>
          <w:iCs/>
          <w:sz w:val="24"/>
          <w:szCs w:val="24"/>
        </w:rPr>
      </w:pPr>
      <w:r>
        <w:rPr>
          <w:rFonts w:asciiTheme="majorBidi" w:hAnsiTheme="majorBidi" w:cstheme="majorBidi"/>
          <w:sz w:val="24"/>
          <w:szCs w:val="24"/>
        </w:rPr>
        <w:t>Central Intelligence Agency</w:t>
      </w:r>
      <w:r w:rsidR="00B84946">
        <w:rPr>
          <w:rFonts w:asciiTheme="majorBidi" w:hAnsiTheme="majorBidi" w:cstheme="majorBidi"/>
          <w:sz w:val="24"/>
          <w:szCs w:val="24"/>
        </w:rPr>
        <w:t xml:space="preserve"> (CIA)</w:t>
      </w:r>
      <w:r>
        <w:rPr>
          <w:rFonts w:asciiTheme="majorBidi" w:hAnsiTheme="majorBidi" w:cstheme="majorBidi"/>
          <w:sz w:val="24"/>
          <w:szCs w:val="24"/>
        </w:rPr>
        <w:t xml:space="preserve">: Egypt (2014). Available at: </w:t>
      </w:r>
      <w:hyperlink r:id="rId24" w:history="1">
        <w:r w:rsidRPr="00311DAB">
          <w:rPr>
            <w:rStyle w:val="Hyperlink"/>
            <w:rFonts w:asciiTheme="majorBidi" w:hAnsiTheme="majorBidi"/>
            <w:sz w:val="24"/>
            <w:szCs w:val="24"/>
          </w:rPr>
          <w:t>https://www.cia.gov/library/publications/the-world-factbook/geos/mo.html</w:t>
        </w:r>
      </w:hyperlink>
      <w:r>
        <w:rPr>
          <w:rFonts w:asciiTheme="majorBidi" w:hAnsiTheme="majorBidi" w:cstheme="majorBidi"/>
          <w:sz w:val="24"/>
          <w:szCs w:val="24"/>
        </w:rPr>
        <w:t>. August 5</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13E8DFDF" w14:textId="77777777" w:rsidR="00CB72BF" w:rsidRPr="00DD04DE" w:rsidRDefault="00CB72BF" w:rsidP="00CB72BF">
      <w:pPr>
        <w:pStyle w:val="ListParagraph"/>
        <w:numPr>
          <w:ilvl w:val="0"/>
          <w:numId w:val="4"/>
        </w:numPr>
        <w:rPr>
          <w:rFonts w:asciiTheme="majorBidi" w:hAnsiTheme="majorBidi" w:cstheme="majorBidi"/>
          <w:i/>
          <w:iCs/>
          <w:sz w:val="24"/>
          <w:szCs w:val="24"/>
        </w:rPr>
      </w:pPr>
      <w:r>
        <w:rPr>
          <w:rFonts w:asciiTheme="majorBidi" w:hAnsiTheme="majorBidi" w:cstheme="majorBidi"/>
          <w:sz w:val="24"/>
          <w:szCs w:val="24"/>
        </w:rPr>
        <w:t xml:space="preserve">Chiaberge, Marcello (2011). </w:t>
      </w:r>
      <w:r w:rsidRPr="005759F7">
        <w:rPr>
          <w:rFonts w:asciiTheme="majorBidi" w:hAnsiTheme="majorBidi" w:cstheme="majorBidi"/>
          <w:i/>
          <w:iCs/>
          <w:sz w:val="24"/>
          <w:szCs w:val="24"/>
        </w:rPr>
        <w:t>New Trends and Developments in Automotive System Engineering</w:t>
      </w:r>
      <w:r>
        <w:rPr>
          <w:rFonts w:asciiTheme="majorBidi" w:hAnsiTheme="majorBidi" w:cstheme="majorBidi"/>
          <w:i/>
          <w:iCs/>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Intech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Rejeka</w:t>
      </w:r>
      <w:proofErr w:type="spellEnd"/>
      <w:r>
        <w:rPr>
          <w:rFonts w:asciiTheme="majorBidi" w:hAnsiTheme="majorBidi" w:cstheme="majorBidi"/>
          <w:sz w:val="24"/>
          <w:szCs w:val="24"/>
        </w:rPr>
        <w:t xml:space="preserve">. </w:t>
      </w:r>
    </w:p>
    <w:p w14:paraId="67E12289" w14:textId="77777777" w:rsidR="00CB72BF" w:rsidRPr="006449C0" w:rsidRDefault="00CB72BF" w:rsidP="00CB72BF">
      <w:pPr>
        <w:pStyle w:val="ListParagraph"/>
        <w:rPr>
          <w:rFonts w:asciiTheme="majorBidi" w:hAnsiTheme="majorBidi" w:cstheme="majorBidi"/>
          <w:i/>
          <w:iCs/>
          <w:sz w:val="24"/>
          <w:szCs w:val="24"/>
        </w:rPr>
      </w:pPr>
    </w:p>
    <w:p w14:paraId="42F6C846" w14:textId="77777777" w:rsidR="00CB72BF" w:rsidRPr="00C63750" w:rsidRDefault="00CB72BF" w:rsidP="00CB72BF">
      <w:pPr>
        <w:pStyle w:val="ListParagraph"/>
        <w:numPr>
          <w:ilvl w:val="0"/>
          <w:numId w:val="4"/>
        </w:numPr>
        <w:rPr>
          <w:rFonts w:asciiTheme="majorBidi" w:hAnsiTheme="majorBidi" w:cstheme="majorBidi"/>
          <w:i/>
          <w:iCs/>
          <w:sz w:val="24"/>
          <w:szCs w:val="24"/>
        </w:rPr>
      </w:pPr>
      <w:r w:rsidRPr="00C63750">
        <w:rPr>
          <w:rFonts w:asciiTheme="majorBidi" w:hAnsiTheme="majorBidi" w:cstheme="majorBidi"/>
          <w:sz w:val="24"/>
          <w:szCs w:val="24"/>
        </w:rPr>
        <w:t>Globa</w:t>
      </w:r>
      <w:r>
        <w:rPr>
          <w:rFonts w:asciiTheme="majorBidi" w:hAnsiTheme="majorBidi" w:cstheme="majorBidi"/>
          <w:sz w:val="24"/>
          <w:szCs w:val="24"/>
        </w:rPr>
        <w:t>l Fuel Economy Initiative, 2013</w:t>
      </w:r>
      <w:r w:rsidRPr="00C63750">
        <w:rPr>
          <w:rFonts w:asciiTheme="majorBidi" w:hAnsiTheme="majorBidi" w:cstheme="majorBidi"/>
          <w:sz w:val="24"/>
          <w:szCs w:val="24"/>
        </w:rPr>
        <w:t>. Global Fue</w:t>
      </w:r>
      <w:r>
        <w:rPr>
          <w:rFonts w:asciiTheme="majorBidi" w:hAnsiTheme="majorBidi" w:cstheme="majorBidi"/>
          <w:sz w:val="24"/>
          <w:szCs w:val="24"/>
        </w:rPr>
        <w:t xml:space="preserve">l Economy Initiative: 50by50. </w:t>
      </w:r>
      <w:r w:rsidRPr="00C63750">
        <w:rPr>
          <w:rFonts w:asciiTheme="majorBidi" w:hAnsiTheme="majorBidi" w:cstheme="majorBidi"/>
          <w:sz w:val="24"/>
          <w:szCs w:val="24"/>
        </w:rPr>
        <w:t>http://www.globalfueleconomy</w:t>
      </w:r>
      <w:r>
        <w:rPr>
          <w:rFonts w:asciiTheme="majorBidi" w:hAnsiTheme="majorBidi" w:cstheme="majorBidi"/>
          <w:sz w:val="24"/>
          <w:szCs w:val="24"/>
        </w:rPr>
        <w:t>.org/about/Pages/AboutHome.aspx.  A</w:t>
      </w:r>
      <w:r w:rsidRPr="00C63750">
        <w:rPr>
          <w:rFonts w:asciiTheme="majorBidi" w:hAnsiTheme="majorBidi" w:cstheme="majorBidi"/>
          <w:sz w:val="24"/>
          <w:szCs w:val="24"/>
        </w:rPr>
        <w:t>ccessed</w:t>
      </w:r>
      <w:r>
        <w:rPr>
          <w:rFonts w:asciiTheme="majorBidi" w:hAnsiTheme="majorBidi" w:cstheme="majorBidi"/>
          <w:sz w:val="24"/>
          <w:szCs w:val="24"/>
        </w:rPr>
        <w:t>: September 8</w:t>
      </w:r>
      <w:r>
        <w:rPr>
          <w:rFonts w:asciiTheme="majorBidi" w:hAnsiTheme="majorBidi" w:cstheme="majorBidi"/>
          <w:sz w:val="24"/>
          <w:szCs w:val="24"/>
          <w:vertAlign w:val="superscript"/>
        </w:rPr>
        <w:t>th</w:t>
      </w:r>
      <w:r>
        <w:rPr>
          <w:rFonts w:asciiTheme="majorBidi" w:hAnsiTheme="majorBidi" w:cstheme="majorBidi"/>
          <w:sz w:val="24"/>
          <w:szCs w:val="24"/>
        </w:rPr>
        <w:t>, 2014</w:t>
      </w:r>
      <w:r w:rsidRPr="00C63750">
        <w:rPr>
          <w:rFonts w:asciiTheme="majorBidi" w:hAnsiTheme="majorBidi" w:cstheme="majorBidi"/>
          <w:sz w:val="24"/>
          <w:szCs w:val="24"/>
        </w:rPr>
        <w:t>.</w:t>
      </w:r>
    </w:p>
    <w:p w14:paraId="106DEB7E" w14:textId="77777777" w:rsidR="00CB72BF" w:rsidRDefault="00CB72BF" w:rsidP="00CB72BF">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Global Fuel Economy Initiative: GFEI (2014)</w:t>
      </w:r>
      <w:r w:rsidRPr="007E1149">
        <w:rPr>
          <w:rFonts w:asciiTheme="majorBidi" w:hAnsiTheme="majorBidi" w:cstheme="majorBidi"/>
          <w:sz w:val="24"/>
          <w:szCs w:val="24"/>
        </w:rPr>
        <w:t xml:space="preserve">. </w:t>
      </w:r>
      <w:r>
        <w:rPr>
          <w:rFonts w:asciiTheme="majorBidi" w:hAnsiTheme="majorBidi" w:cstheme="majorBidi"/>
          <w:sz w:val="24"/>
          <w:szCs w:val="24"/>
        </w:rPr>
        <w:t xml:space="preserve">Available at: </w:t>
      </w:r>
      <w:hyperlink r:id="rId25" w:history="1">
        <w:r w:rsidRPr="00311DAB">
          <w:rPr>
            <w:rStyle w:val="Hyperlink"/>
            <w:rFonts w:asciiTheme="majorBidi" w:hAnsiTheme="majorBidi"/>
            <w:sz w:val="24"/>
            <w:szCs w:val="24"/>
          </w:rPr>
          <w:t>http://www.unep.org/transport/gfei/autotool/nextsteps/developing_a_baseline.asp</w:t>
        </w:r>
      </w:hyperlink>
      <w:r>
        <w:rPr>
          <w:rFonts w:asciiTheme="majorBidi" w:hAnsiTheme="majorBidi" w:cstheme="majorBidi"/>
          <w:sz w:val="24"/>
          <w:szCs w:val="24"/>
        </w:rPr>
        <w:t>. Accessed: August 19</w:t>
      </w:r>
      <w:r>
        <w:rPr>
          <w:rFonts w:asciiTheme="majorBidi" w:hAnsiTheme="majorBidi" w:cstheme="majorBidi"/>
          <w:sz w:val="24"/>
          <w:szCs w:val="24"/>
          <w:vertAlign w:val="superscript"/>
        </w:rPr>
        <w:t>th</w:t>
      </w:r>
      <w:r>
        <w:rPr>
          <w:rFonts w:asciiTheme="majorBidi" w:hAnsiTheme="majorBidi" w:cstheme="majorBidi"/>
          <w:sz w:val="24"/>
          <w:szCs w:val="24"/>
        </w:rPr>
        <w:t xml:space="preserve">, 2014   </w:t>
      </w:r>
    </w:p>
    <w:p w14:paraId="63EFEDE1" w14:textId="77777777" w:rsidR="00CB72BF" w:rsidRDefault="00CB72BF" w:rsidP="00CB72BF">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Global Fuel Economy Initiative: GFEI (2014). The European Union Automotive Fuel Economy policy. Available at:   </w:t>
      </w:r>
      <w:hyperlink r:id="rId26" w:history="1">
        <w:r w:rsidRPr="00311DAB">
          <w:rPr>
            <w:rStyle w:val="Hyperlink"/>
            <w:rFonts w:asciiTheme="majorBidi" w:hAnsiTheme="majorBidi"/>
            <w:sz w:val="24"/>
            <w:szCs w:val="24"/>
          </w:rPr>
          <w:t>http://www.unep.org/transport/gfei/autotool/case_studies/europe/cs_eu_0.asp</w:t>
        </w:r>
      </w:hyperlink>
      <w:r>
        <w:rPr>
          <w:rFonts w:asciiTheme="majorBidi" w:hAnsiTheme="majorBidi" w:cstheme="majorBidi"/>
          <w:sz w:val="24"/>
          <w:szCs w:val="24"/>
        </w:rPr>
        <w:t>. Accessed September 11</w:t>
      </w:r>
      <w:r>
        <w:rPr>
          <w:rFonts w:asciiTheme="majorBidi" w:hAnsiTheme="majorBidi" w:cstheme="majorBidi"/>
          <w:sz w:val="24"/>
          <w:szCs w:val="24"/>
          <w:vertAlign w:val="superscript"/>
        </w:rPr>
        <w:t>th</w:t>
      </w:r>
      <w:r>
        <w:rPr>
          <w:rFonts w:asciiTheme="majorBidi" w:hAnsiTheme="majorBidi" w:cstheme="majorBidi"/>
          <w:sz w:val="24"/>
          <w:szCs w:val="24"/>
        </w:rPr>
        <w:t>,2014</w:t>
      </w:r>
    </w:p>
    <w:p w14:paraId="0685B7EB" w14:textId="77777777" w:rsidR="00CB72BF" w:rsidRDefault="00CB72BF" w:rsidP="00CB72BF">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Global Fuel Economy Initiative: GFEI (2014). The US Automotive Fuel Economy policy. Available at:  </w:t>
      </w:r>
      <w:hyperlink r:id="rId27" w:history="1">
        <w:r w:rsidRPr="00311DAB">
          <w:rPr>
            <w:rStyle w:val="Hyperlink"/>
            <w:rFonts w:asciiTheme="majorBidi" w:hAnsiTheme="majorBidi"/>
            <w:sz w:val="24"/>
            <w:szCs w:val="24"/>
          </w:rPr>
          <w:t>http://www.unep.org/transport/gfei/autotool/case_studies/northamerica/cs_us_0.asp</w:t>
        </w:r>
      </w:hyperlink>
      <w:r>
        <w:rPr>
          <w:rFonts w:asciiTheme="majorBidi" w:hAnsiTheme="majorBidi" w:cstheme="majorBidi"/>
          <w:sz w:val="24"/>
          <w:szCs w:val="24"/>
        </w:rPr>
        <w:t>. Accessed: September 14</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52ED6A6B" w14:textId="77777777" w:rsidR="00405416" w:rsidRDefault="00405416" w:rsidP="00CB72BF">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International Monetary Fund: IMF (2013). </w:t>
      </w:r>
      <w:r w:rsidRPr="00405416">
        <w:rPr>
          <w:rFonts w:asciiTheme="majorBidi" w:hAnsiTheme="majorBidi" w:cstheme="majorBidi"/>
          <w:i/>
          <w:iCs/>
          <w:sz w:val="24"/>
          <w:szCs w:val="24"/>
        </w:rPr>
        <w:t>Morocco Selected Issues</w:t>
      </w:r>
      <w:r>
        <w:rPr>
          <w:rFonts w:asciiTheme="majorBidi" w:hAnsiTheme="majorBidi" w:cstheme="majorBidi"/>
          <w:sz w:val="24"/>
          <w:szCs w:val="24"/>
        </w:rPr>
        <w:t>.</w:t>
      </w:r>
      <w:r w:rsidR="005737A6">
        <w:rPr>
          <w:rFonts w:asciiTheme="majorBidi" w:hAnsiTheme="majorBidi" w:cstheme="majorBidi"/>
          <w:sz w:val="24"/>
          <w:szCs w:val="24"/>
        </w:rPr>
        <w:t xml:space="preserve"> Washington, DC: IMF Publications Services.</w:t>
      </w:r>
    </w:p>
    <w:p w14:paraId="79185F9D" w14:textId="77777777" w:rsidR="00CB72BF" w:rsidRPr="00F66D80" w:rsidRDefault="00CB72BF" w:rsidP="00CB72BF">
      <w:pPr>
        <w:pStyle w:val="ListParagraph"/>
        <w:numPr>
          <w:ilvl w:val="0"/>
          <w:numId w:val="4"/>
        </w:numPr>
        <w:rPr>
          <w:rFonts w:asciiTheme="majorBidi" w:hAnsiTheme="majorBidi" w:cstheme="majorBidi"/>
          <w:i/>
          <w:iCs/>
          <w:sz w:val="24"/>
          <w:szCs w:val="24"/>
        </w:rPr>
      </w:pPr>
      <w:r w:rsidRPr="00F66D80">
        <w:rPr>
          <w:rFonts w:asciiTheme="majorBidi" w:hAnsiTheme="majorBidi" w:cstheme="majorBidi"/>
          <w:sz w:val="24"/>
          <w:szCs w:val="24"/>
        </w:rPr>
        <w:t xml:space="preserve">Institute of Mechanical Engineering (2011). Internal Combustion Engines: </w:t>
      </w:r>
      <w:r w:rsidRPr="00F66D80">
        <w:rPr>
          <w:rFonts w:asciiTheme="majorBidi" w:hAnsiTheme="majorBidi" w:cstheme="majorBidi"/>
          <w:i/>
          <w:iCs/>
          <w:sz w:val="24"/>
          <w:szCs w:val="24"/>
        </w:rPr>
        <w:t>Improving Performance, Fuel Economy and Emissions</w:t>
      </w:r>
      <w:r w:rsidRPr="00F66D80">
        <w:rPr>
          <w:rFonts w:asciiTheme="majorBidi" w:hAnsiTheme="majorBidi" w:cstheme="majorBidi"/>
          <w:sz w:val="24"/>
          <w:szCs w:val="24"/>
        </w:rPr>
        <w:t xml:space="preserve">. Woodhead Publishing Limited: London </w:t>
      </w:r>
    </w:p>
    <w:p w14:paraId="3718F496" w14:textId="77777777" w:rsidR="00CB72BF" w:rsidRPr="00C63750" w:rsidRDefault="00CB72BF" w:rsidP="00D3152A">
      <w:pPr>
        <w:pStyle w:val="ListParagraph"/>
        <w:rPr>
          <w:rFonts w:asciiTheme="majorBidi" w:hAnsiTheme="majorBidi" w:cstheme="majorBidi"/>
          <w:i/>
          <w:iCs/>
          <w:sz w:val="24"/>
          <w:szCs w:val="24"/>
        </w:rPr>
      </w:pPr>
    </w:p>
    <w:p w14:paraId="536BDD5B" w14:textId="77777777" w:rsidR="00CB72BF" w:rsidRPr="00F66D80" w:rsidRDefault="00CB72BF" w:rsidP="00E75255">
      <w:pPr>
        <w:ind w:left="360"/>
        <w:jc w:val="both"/>
        <w:rPr>
          <w:rFonts w:asciiTheme="majorBidi" w:hAnsiTheme="majorBidi" w:cstheme="majorBidi"/>
          <w:i/>
          <w:iCs/>
          <w:sz w:val="24"/>
          <w:szCs w:val="24"/>
        </w:rPr>
      </w:pPr>
    </w:p>
    <w:p w14:paraId="6C17D51B" w14:textId="77777777" w:rsidR="00CB72BF" w:rsidRDefault="00CB72BF" w:rsidP="00CB72BF">
      <w:pPr>
        <w:pStyle w:val="ListParagraph"/>
        <w:rPr>
          <w:rFonts w:asciiTheme="majorBidi" w:hAnsiTheme="majorBidi" w:cstheme="majorBidi"/>
          <w:sz w:val="24"/>
          <w:szCs w:val="24"/>
        </w:rPr>
      </w:pPr>
    </w:p>
    <w:p w14:paraId="69575FF9" w14:textId="77777777" w:rsidR="00CB72BF" w:rsidRPr="003F0665" w:rsidRDefault="00CB72BF" w:rsidP="00CB72BF">
      <w:pPr>
        <w:pStyle w:val="ListParagraph"/>
        <w:numPr>
          <w:ilvl w:val="0"/>
          <w:numId w:val="4"/>
        </w:numPr>
        <w:rPr>
          <w:rFonts w:asciiTheme="majorBidi" w:hAnsiTheme="majorBidi" w:cstheme="majorBidi"/>
          <w:i/>
          <w:iCs/>
          <w:sz w:val="24"/>
          <w:szCs w:val="24"/>
        </w:rPr>
      </w:pPr>
      <w:r>
        <w:rPr>
          <w:rFonts w:asciiTheme="majorBidi" w:hAnsiTheme="majorBidi" w:cstheme="majorBidi"/>
          <w:sz w:val="24"/>
          <w:szCs w:val="24"/>
        </w:rPr>
        <w:lastRenderedPageBreak/>
        <w:t xml:space="preserve">Parry, Ian. Anderson, </w:t>
      </w:r>
      <w:proofErr w:type="spellStart"/>
      <w:r>
        <w:rPr>
          <w:rFonts w:asciiTheme="majorBidi" w:hAnsiTheme="majorBidi" w:cstheme="majorBidi"/>
          <w:sz w:val="24"/>
          <w:szCs w:val="24"/>
        </w:rPr>
        <w:t>Soren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Sallee</w:t>
      </w:r>
      <w:proofErr w:type="spellEnd"/>
      <w:r>
        <w:rPr>
          <w:rFonts w:asciiTheme="majorBidi" w:hAnsiTheme="majorBidi" w:cstheme="majorBidi"/>
          <w:sz w:val="24"/>
          <w:szCs w:val="24"/>
        </w:rPr>
        <w:t xml:space="preserve">, James M. Fischer, Carolyn. (2010). </w:t>
      </w:r>
      <w:r w:rsidRPr="0053621C">
        <w:rPr>
          <w:rFonts w:asciiTheme="majorBidi" w:hAnsiTheme="majorBidi" w:cstheme="majorBidi"/>
          <w:i/>
          <w:iCs/>
          <w:sz w:val="24"/>
          <w:szCs w:val="24"/>
        </w:rPr>
        <w:t>Automobile Fuel Economy Standards: Impacts, Efficiency, and Alternatives</w:t>
      </w:r>
      <w:r>
        <w:rPr>
          <w:rFonts w:asciiTheme="majorBidi" w:hAnsiTheme="majorBidi" w:cstheme="majorBidi"/>
          <w:sz w:val="24"/>
          <w:szCs w:val="24"/>
        </w:rPr>
        <w:t>. Resources for the Future: Washington, DC.</w:t>
      </w:r>
    </w:p>
    <w:p w14:paraId="5809B457" w14:textId="77777777" w:rsidR="003F0665" w:rsidRPr="00684668" w:rsidRDefault="003F0665" w:rsidP="00CB72BF">
      <w:pPr>
        <w:pStyle w:val="ListParagraph"/>
        <w:numPr>
          <w:ilvl w:val="0"/>
          <w:numId w:val="4"/>
        </w:numPr>
        <w:rPr>
          <w:rFonts w:asciiTheme="majorBidi" w:hAnsiTheme="majorBidi" w:cstheme="majorBidi"/>
          <w:i/>
          <w:iCs/>
          <w:sz w:val="24"/>
          <w:szCs w:val="24"/>
        </w:rPr>
      </w:pPr>
      <w:r>
        <w:rPr>
          <w:rFonts w:asciiTheme="majorBidi" w:hAnsiTheme="majorBidi" w:cstheme="majorBidi"/>
          <w:sz w:val="24"/>
          <w:szCs w:val="24"/>
        </w:rPr>
        <w:t>PKF International Tax Committee (2012)</w:t>
      </w:r>
      <w:r w:rsidR="00366A8A">
        <w:rPr>
          <w:rFonts w:asciiTheme="majorBidi" w:hAnsiTheme="majorBidi" w:cstheme="majorBidi"/>
          <w:sz w:val="24"/>
          <w:szCs w:val="24"/>
        </w:rPr>
        <w:t xml:space="preserve">. </w:t>
      </w:r>
      <w:r w:rsidR="00366A8A" w:rsidRPr="00366A8A">
        <w:rPr>
          <w:rFonts w:asciiTheme="majorBidi" w:hAnsiTheme="majorBidi" w:cstheme="majorBidi"/>
          <w:i/>
          <w:iCs/>
          <w:sz w:val="24"/>
          <w:szCs w:val="24"/>
        </w:rPr>
        <w:t>Morocco Tax Guide 201</w:t>
      </w:r>
      <w:r w:rsidR="00366A8A">
        <w:rPr>
          <w:rFonts w:asciiTheme="majorBidi" w:hAnsiTheme="majorBidi" w:cstheme="majorBidi"/>
          <w:i/>
          <w:iCs/>
          <w:sz w:val="24"/>
          <w:szCs w:val="24"/>
        </w:rPr>
        <w:t>2.</w:t>
      </w:r>
      <w:r w:rsidR="00366A8A">
        <w:rPr>
          <w:rFonts w:asciiTheme="majorBidi" w:hAnsiTheme="majorBidi" w:cstheme="majorBidi"/>
          <w:sz w:val="24"/>
          <w:szCs w:val="24"/>
        </w:rPr>
        <w:t xml:space="preserve"> United Kingdom: PKF International Limited</w:t>
      </w:r>
    </w:p>
    <w:p w14:paraId="07584221" w14:textId="77777777" w:rsidR="00CB72BF" w:rsidRDefault="00CB72BF" w:rsidP="00CB72BF">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Quandl (2014). Egypt GINI index. Available at:   </w:t>
      </w:r>
      <w:hyperlink r:id="rId28" w:history="1">
        <w:r w:rsidRPr="00311DAB">
          <w:rPr>
            <w:rStyle w:val="Hyperlink"/>
            <w:rFonts w:asciiTheme="majorBidi" w:hAnsiTheme="majorBidi"/>
            <w:sz w:val="24"/>
            <w:szCs w:val="24"/>
          </w:rPr>
          <w:t>https://www.quandl.com/WORLDBANK/EGY_SI_POV_GINI-Egypt-Arab-Rep-GINI-index</w:t>
        </w:r>
      </w:hyperlink>
      <w:r>
        <w:rPr>
          <w:rFonts w:asciiTheme="majorBidi" w:hAnsiTheme="majorBidi" w:cstheme="majorBidi"/>
          <w:sz w:val="24"/>
          <w:szCs w:val="24"/>
        </w:rPr>
        <w:t xml:space="preserve">.   </w:t>
      </w:r>
      <w:r w:rsidRPr="00592166">
        <w:rPr>
          <w:rFonts w:asciiTheme="majorBidi" w:hAnsiTheme="majorBidi" w:cstheme="majorBidi"/>
          <w:sz w:val="24"/>
          <w:szCs w:val="24"/>
        </w:rPr>
        <w:t>Accessed: September 18th,</w:t>
      </w:r>
      <w:r w:rsidR="00C725C0">
        <w:rPr>
          <w:rFonts w:asciiTheme="majorBidi" w:hAnsiTheme="majorBidi" w:cstheme="majorBidi"/>
          <w:sz w:val="24"/>
          <w:szCs w:val="24"/>
        </w:rPr>
        <w:t xml:space="preserve"> </w:t>
      </w:r>
      <w:r w:rsidRPr="00592166">
        <w:rPr>
          <w:rFonts w:asciiTheme="majorBidi" w:hAnsiTheme="majorBidi" w:cstheme="majorBidi"/>
          <w:sz w:val="24"/>
          <w:szCs w:val="24"/>
        </w:rPr>
        <w:t>2014.</w:t>
      </w:r>
      <w:r>
        <w:rPr>
          <w:rFonts w:asciiTheme="majorBidi" w:hAnsiTheme="majorBidi" w:cstheme="majorBidi"/>
          <w:sz w:val="24"/>
          <w:szCs w:val="24"/>
        </w:rPr>
        <w:t xml:space="preserve"> </w:t>
      </w:r>
    </w:p>
    <w:p w14:paraId="5FED9B44" w14:textId="77777777" w:rsidR="00CB72BF" w:rsidRDefault="00CB72BF" w:rsidP="00CB72BF">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Quandl (2014). Egypt population data. Available at: </w:t>
      </w:r>
      <w:hyperlink r:id="rId29" w:history="1">
        <w:r w:rsidRPr="00311DAB">
          <w:rPr>
            <w:rStyle w:val="Hyperlink"/>
            <w:rFonts w:asciiTheme="majorBidi" w:hAnsiTheme="majorBidi"/>
            <w:sz w:val="24"/>
            <w:szCs w:val="24"/>
          </w:rPr>
          <w:t>https://www.quandl.com/UN/DEV_POPULATIONTOTAL_EGY-Population-Total-Egypt</w:t>
        </w:r>
      </w:hyperlink>
      <w:r>
        <w:rPr>
          <w:rFonts w:asciiTheme="majorBidi" w:hAnsiTheme="majorBidi" w:cstheme="majorBidi"/>
          <w:sz w:val="24"/>
          <w:szCs w:val="24"/>
        </w:rPr>
        <w:t>. Accessed: September 20</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396A7125" w14:textId="77777777" w:rsidR="00CB72BF" w:rsidRDefault="00CB72BF" w:rsidP="00CB72BF">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Quandl (2014).Morocco GINI index. Available at:  </w:t>
      </w:r>
      <w:hyperlink r:id="rId30" w:history="1">
        <w:r w:rsidRPr="00311DAB">
          <w:rPr>
            <w:rStyle w:val="Hyperlink"/>
            <w:rFonts w:asciiTheme="majorBidi" w:hAnsiTheme="majorBidi"/>
            <w:sz w:val="24"/>
            <w:szCs w:val="24"/>
          </w:rPr>
          <w:t>https://www.quandl.com/WORLDBANK/MAR_SI_POV_GINI-Morocco-GINI-index</w:t>
        </w:r>
      </w:hyperlink>
      <w:r>
        <w:rPr>
          <w:rFonts w:asciiTheme="majorBidi" w:hAnsiTheme="majorBidi" w:cstheme="majorBidi"/>
          <w:sz w:val="24"/>
          <w:szCs w:val="24"/>
        </w:rPr>
        <w:t>. Accessed: September 18</w:t>
      </w:r>
      <w:r>
        <w:rPr>
          <w:rFonts w:asciiTheme="majorBidi" w:hAnsiTheme="majorBidi" w:cstheme="majorBidi"/>
          <w:sz w:val="24"/>
          <w:szCs w:val="24"/>
          <w:vertAlign w:val="superscript"/>
        </w:rPr>
        <w:t>th</w:t>
      </w:r>
      <w:r>
        <w:rPr>
          <w:rFonts w:asciiTheme="majorBidi" w:hAnsiTheme="majorBidi" w:cstheme="majorBidi"/>
          <w:sz w:val="24"/>
          <w:szCs w:val="24"/>
        </w:rPr>
        <w:t>,2014</w:t>
      </w:r>
    </w:p>
    <w:p w14:paraId="4383726E" w14:textId="77777777" w:rsidR="00CB72BF" w:rsidRDefault="00CB72BF" w:rsidP="00CB72BF">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Quandl (2014) Morocco Population data. Available at: </w:t>
      </w:r>
      <w:hyperlink r:id="rId31" w:history="1">
        <w:r w:rsidRPr="00311DAB">
          <w:rPr>
            <w:rStyle w:val="Hyperlink"/>
            <w:rFonts w:asciiTheme="majorBidi" w:hAnsiTheme="majorBidi"/>
            <w:sz w:val="24"/>
            <w:szCs w:val="24"/>
          </w:rPr>
          <w:t>https://www.quandl.com/UN/DEV_POPULATIONTOTAL_MAR-Population-Total-Morocco</w:t>
        </w:r>
      </w:hyperlink>
      <w:r>
        <w:rPr>
          <w:rFonts w:asciiTheme="majorBidi" w:hAnsiTheme="majorBidi" w:cstheme="majorBidi"/>
          <w:sz w:val="24"/>
          <w:szCs w:val="24"/>
        </w:rPr>
        <w:t>. Accessed: September 20</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24C9C592" w14:textId="77777777" w:rsidR="00CB72BF" w:rsidRDefault="00CB72BF" w:rsidP="00CB72BF">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 xml:space="preserve">Quandl (2014). Tunisia GINI index. Available at:  </w:t>
      </w:r>
      <w:hyperlink r:id="rId32" w:history="1">
        <w:r w:rsidRPr="00311DAB">
          <w:rPr>
            <w:rStyle w:val="Hyperlink"/>
            <w:rFonts w:asciiTheme="majorBidi" w:hAnsiTheme="majorBidi"/>
            <w:sz w:val="24"/>
            <w:szCs w:val="24"/>
          </w:rPr>
          <w:t>https://www.quandl.com/WORLDBANK/TUN_SI_POV_GINI-Tunisia-GINI-index</w:t>
        </w:r>
      </w:hyperlink>
      <w:r>
        <w:rPr>
          <w:rFonts w:asciiTheme="majorBidi" w:hAnsiTheme="majorBidi" w:cstheme="majorBidi"/>
          <w:sz w:val="24"/>
          <w:szCs w:val="24"/>
        </w:rPr>
        <w:t xml:space="preserve">.   </w:t>
      </w:r>
      <w:r w:rsidRPr="00592166">
        <w:rPr>
          <w:rFonts w:asciiTheme="majorBidi" w:hAnsiTheme="majorBidi" w:cstheme="majorBidi"/>
          <w:sz w:val="24"/>
          <w:szCs w:val="24"/>
        </w:rPr>
        <w:t>Accessed: September 18th,</w:t>
      </w:r>
      <w:r>
        <w:rPr>
          <w:rFonts w:asciiTheme="majorBidi" w:hAnsiTheme="majorBidi" w:cstheme="majorBidi"/>
          <w:sz w:val="24"/>
          <w:szCs w:val="24"/>
        </w:rPr>
        <w:t xml:space="preserve"> `</w:t>
      </w:r>
      <w:r w:rsidRPr="00592166">
        <w:rPr>
          <w:rFonts w:asciiTheme="majorBidi" w:hAnsiTheme="majorBidi" w:cstheme="majorBidi"/>
          <w:sz w:val="24"/>
          <w:szCs w:val="24"/>
        </w:rPr>
        <w:t>2014</w:t>
      </w:r>
      <w:r>
        <w:rPr>
          <w:rFonts w:asciiTheme="majorBidi" w:hAnsiTheme="majorBidi" w:cstheme="majorBidi"/>
          <w:sz w:val="24"/>
          <w:szCs w:val="24"/>
        </w:rPr>
        <w:t xml:space="preserve">. </w:t>
      </w:r>
    </w:p>
    <w:p w14:paraId="6BAD432F" w14:textId="77777777" w:rsidR="00CB72BF" w:rsidRDefault="00CB72BF" w:rsidP="00CB72BF">
      <w:pPr>
        <w:pStyle w:val="ListParagraph"/>
        <w:numPr>
          <w:ilvl w:val="0"/>
          <w:numId w:val="4"/>
        </w:numPr>
        <w:rPr>
          <w:rFonts w:asciiTheme="majorBidi" w:hAnsiTheme="majorBidi" w:cstheme="majorBidi"/>
          <w:sz w:val="24"/>
          <w:szCs w:val="24"/>
        </w:rPr>
      </w:pPr>
      <w:r>
        <w:rPr>
          <w:rFonts w:asciiTheme="majorBidi" w:hAnsiTheme="majorBidi" w:cstheme="majorBidi"/>
          <w:sz w:val="24"/>
          <w:szCs w:val="24"/>
        </w:rPr>
        <w:t>Quandl (2014). Tunisia Population data. Available at:</w:t>
      </w:r>
      <w:r w:rsidRPr="007C7810">
        <w:t xml:space="preserve"> </w:t>
      </w:r>
      <w:r w:rsidRPr="007C7810">
        <w:rPr>
          <w:rFonts w:asciiTheme="majorBidi" w:hAnsiTheme="majorBidi" w:cstheme="majorBidi"/>
          <w:sz w:val="24"/>
          <w:szCs w:val="24"/>
        </w:rPr>
        <w:t>https://www.quandl.com/UN/DEV_POPULATIONTOTAL_TUN-Population-Total-Tunisia</w:t>
      </w:r>
      <w:r>
        <w:rPr>
          <w:rFonts w:asciiTheme="majorBidi" w:hAnsiTheme="majorBidi" w:cstheme="majorBidi"/>
          <w:sz w:val="24"/>
          <w:szCs w:val="24"/>
        </w:rPr>
        <w:t>.  Accessed: September 20</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70F75769" w14:textId="77777777" w:rsidR="00CB72BF" w:rsidRPr="00F07360" w:rsidRDefault="00CB72BF" w:rsidP="00CB72BF">
      <w:pPr>
        <w:pStyle w:val="ListParagraph"/>
        <w:numPr>
          <w:ilvl w:val="0"/>
          <w:numId w:val="4"/>
        </w:numPr>
        <w:rPr>
          <w:rFonts w:asciiTheme="majorBidi" w:hAnsiTheme="majorBidi" w:cstheme="majorBidi"/>
          <w:i/>
          <w:iCs/>
          <w:sz w:val="24"/>
          <w:szCs w:val="24"/>
        </w:rPr>
      </w:pPr>
      <w:r>
        <w:rPr>
          <w:rFonts w:asciiTheme="majorBidi" w:hAnsiTheme="majorBidi" w:cstheme="majorBidi"/>
          <w:sz w:val="24"/>
          <w:szCs w:val="24"/>
        </w:rPr>
        <w:t xml:space="preserve">Stone, Richard (1992). </w:t>
      </w:r>
      <w:r w:rsidRPr="00887188">
        <w:rPr>
          <w:rFonts w:asciiTheme="majorBidi" w:hAnsiTheme="majorBidi" w:cstheme="majorBidi"/>
          <w:i/>
          <w:iCs/>
          <w:sz w:val="24"/>
          <w:szCs w:val="24"/>
        </w:rPr>
        <w:t>Introduction to Internal Combustion Engines</w:t>
      </w:r>
      <w:r>
        <w:rPr>
          <w:rFonts w:asciiTheme="majorBidi" w:hAnsiTheme="majorBidi" w:cstheme="majorBidi"/>
          <w:i/>
          <w:iCs/>
          <w:sz w:val="24"/>
          <w:szCs w:val="24"/>
        </w:rPr>
        <w:t>.</w:t>
      </w:r>
      <w:r>
        <w:rPr>
          <w:rFonts w:asciiTheme="majorBidi" w:hAnsiTheme="majorBidi" w:cstheme="majorBidi"/>
          <w:sz w:val="24"/>
          <w:szCs w:val="24"/>
        </w:rPr>
        <w:t xml:space="preserve"> 2</w:t>
      </w:r>
      <w:r>
        <w:rPr>
          <w:rFonts w:asciiTheme="majorBidi" w:hAnsiTheme="majorBidi" w:cstheme="majorBidi"/>
          <w:sz w:val="24"/>
          <w:szCs w:val="24"/>
          <w:vertAlign w:val="superscript"/>
        </w:rPr>
        <w:t>nd</w:t>
      </w:r>
      <w:r>
        <w:rPr>
          <w:rFonts w:asciiTheme="majorBidi" w:hAnsiTheme="majorBidi" w:cstheme="majorBidi"/>
          <w:sz w:val="24"/>
          <w:szCs w:val="24"/>
        </w:rPr>
        <w:t xml:space="preserve"> edition. The Macmillan Press Limited: London.</w:t>
      </w:r>
    </w:p>
    <w:p w14:paraId="5BE1425E" w14:textId="77777777" w:rsidR="00CB72BF" w:rsidRPr="00684668" w:rsidRDefault="00CB72BF" w:rsidP="00CB72BF">
      <w:pPr>
        <w:pStyle w:val="ListParagraph"/>
        <w:rPr>
          <w:rFonts w:asciiTheme="majorBidi" w:hAnsiTheme="majorBidi" w:cstheme="majorBidi"/>
          <w:sz w:val="24"/>
          <w:szCs w:val="24"/>
        </w:rPr>
      </w:pPr>
    </w:p>
    <w:p w14:paraId="6BBBE74A" w14:textId="77777777" w:rsidR="00CB72BF" w:rsidRPr="00B84946" w:rsidRDefault="00CB72BF" w:rsidP="00CB72BF">
      <w:pPr>
        <w:pStyle w:val="ListParagraph"/>
        <w:numPr>
          <w:ilvl w:val="0"/>
          <w:numId w:val="4"/>
        </w:numPr>
        <w:tabs>
          <w:tab w:val="left" w:pos="9000"/>
        </w:tabs>
        <w:rPr>
          <w:rFonts w:asciiTheme="majorBidi" w:hAnsiTheme="majorBidi" w:cstheme="majorBidi"/>
          <w:i/>
          <w:iCs/>
          <w:sz w:val="24"/>
          <w:szCs w:val="24"/>
        </w:rPr>
      </w:pPr>
      <w:r>
        <w:rPr>
          <w:rFonts w:asciiTheme="majorBidi" w:hAnsiTheme="majorBidi" w:cstheme="majorBidi"/>
          <w:sz w:val="24"/>
          <w:szCs w:val="24"/>
        </w:rPr>
        <w:t>The globaleconomy.com (2014). Morocco co</w:t>
      </w:r>
      <w:r>
        <w:rPr>
          <w:rFonts w:asciiTheme="majorBidi" w:hAnsiTheme="majorBidi" w:cstheme="majorBidi"/>
          <w:sz w:val="24"/>
          <w:szCs w:val="24"/>
          <w:vertAlign w:val="subscript"/>
        </w:rPr>
        <w:t>2</w:t>
      </w:r>
      <w:r>
        <w:rPr>
          <w:rFonts w:asciiTheme="majorBidi" w:hAnsiTheme="majorBidi" w:cstheme="majorBidi"/>
          <w:sz w:val="24"/>
          <w:szCs w:val="24"/>
        </w:rPr>
        <w:t xml:space="preserve"> emissions from transportation. Available at:</w:t>
      </w:r>
      <w:r w:rsidRPr="00CB72BF">
        <w:t xml:space="preserve"> </w:t>
      </w:r>
      <w:hyperlink r:id="rId33" w:history="1">
        <w:r w:rsidRPr="005714FD">
          <w:rPr>
            <w:rStyle w:val="Hyperlink"/>
            <w:rFonts w:asciiTheme="majorBidi" w:hAnsiTheme="majorBidi" w:cstheme="majorBidi"/>
            <w:sz w:val="24"/>
            <w:szCs w:val="24"/>
          </w:rPr>
          <w:t>http://www.theglobaleconomy.com/Morocco/CO2_emissions_from_transportation/</w:t>
        </w:r>
      </w:hyperlink>
      <w:r>
        <w:rPr>
          <w:rFonts w:asciiTheme="majorBidi" w:hAnsiTheme="majorBidi" w:cstheme="majorBidi"/>
          <w:sz w:val="24"/>
          <w:szCs w:val="24"/>
        </w:rPr>
        <w:t>.  Accessed: October 14</w:t>
      </w:r>
      <w:r>
        <w:rPr>
          <w:rFonts w:asciiTheme="majorBidi" w:hAnsiTheme="majorBidi" w:cstheme="majorBidi"/>
          <w:sz w:val="24"/>
          <w:szCs w:val="24"/>
          <w:vertAlign w:val="superscript"/>
        </w:rPr>
        <w:t>th</w:t>
      </w:r>
      <w:r>
        <w:rPr>
          <w:rFonts w:asciiTheme="majorBidi" w:hAnsiTheme="majorBidi" w:cstheme="majorBidi"/>
          <w:sz w:val="24"/>
          <w:szCs w:val="24"/>
        </w:rPr>
        <w:t xml:space="preserve">, 2014. </w:t>
      </w:r>
    </w:p>
    <w:p w14:paraId="22A4E53D" w14:textId="77777777" w:rsidR="00B84946" w:rsidRPr="00B84946" w:rsidRDefault="00B84946" w:rsidP="00B84946">
      <w:pPr>
        <w:pStyle w:val="ListParagraph"/>
        <w:rPr>
          <w:rFonts w:asciiTheme="majorBidi" w:hAnsiTheme="majorBidi" w:cstheme="majorBidi"/>
          <w:i/>
          <w:iCs/>
          <w:sz w:val="24"/>
          <w:szCs w:val="24"/>
        </w:rPr>
      </w:pPr>
    </w:p>
    <w:p w14:paraId="2AFB299B" w14:textId="77777777" w:rsidR="00B84946" w:rsidRPr="0048440D" w:rsidRDefault="00B84946" w:rsidP="00A124FB">
      <w:pPr>
        <w:pStyle w:val="ListParagraph"/>
        <w:numPr>
          <w:ilvl w:val="0"/>
          <w:numId w:val="4"/>
        </w:numPr>
        <w:tabs>
          <w:tab w:val="left" w:pos="9000"/>
        </w:tabs>
        <w:rPr>
          <w:rFonts w:asciiTheme="majorBidi" w:hAnsiTheme="majorBidi" w:cstheme="majorBidi"/>
          <w:i/>
          <w:iCs/>
          <w:sz w:val="24"/>
          <w:szCs w:val="24"/>
        </w:rPr>
      </w:pPr>
      <w:r>
        <w:rPr>
          <w:rFonts w:asciiTheme="majorBidi" w:hAnsiTheme="majorBidi" w:cstheme="majorBidi"/>
          <w:sz w:val="24"/>
          <w:szCs w:val="24"/>
        </w:rPr>
        <w:t>The International Organization of Motor Vehicle Manufacturers</w:t>
      </w:r>
      <w:r w:rsidR="00284FA7">
        <w:rPr>
          <w:rFonts w:asciiTheme="majorBidi" w:hAnsiTheme="majorBidi" w:cstheme="majorBidi"/>
          <w:sz w:val="24"/>
          <w:szCs w:val="24"/>
        </w:rPr>
        <w:t xml:space="preserve"> (OICA). Total in Use 2012. Available at</w:t>
      </w:r>
      <w:r w:rsidR="00A124FB">
        <w:rPr>
          <w:rFonts w:asciiTheme="majorBidi" w:hAnsiTheme="majorBidi" w:cstheme="majorBidi"/>
          <w:sz w:val="24"/>
          <w:szCs w:val="24"/>
        </w:rPr>
        <w:t>:</w:t>
      </w:r>
      <w:r w:rsidR="00A124FB" w:rsidRPr="00A124FB">
        <w:t xml:space="preserve"> </w:t>
      </w:r>
      <w:hyperlink r:id="rId34" w:history="1">
        <w:r w:rsidR="00A124FB" w:rsidRPr="005714FD">
          <w:rPr>
            <w:rStyle w:val="Hyperlink"/>
            <w:rFonts w:asciiTheme="majorBidi" w:hAnsiTheme="majorBidi" w:cstheme="majorBidi"/>
            <w:sz w:val="24"/>
            <w:szCs w:val="24"/>
          </w:rPr>
          <w:t>http://www.oica.net/category/about-us/</w:t>
        </w:r>
      </w:hyperlink>
      <w:r w:rsidR="00A124FB">
        <w:rPr>
          <w:rFonts w:asciiTheme="majorBidi" w:hAnsiTheme="majorBidi" w:cstheme="majorBidi"/>
          <w:sz w:val="24"/>
          <w:szCs w:val="24"/>
        </w:rPr>
        <w:t>.  Accessed: September 4</w:t>
      </w:r>
      <w:r w:rsidR="00A124FB">
        <w:rPr>
          <w:rFonts w:asciiTheme="majorBidi" w:hAnsiTheme="majorBidi" w:cstheme="majorBidi"/>
          <w:sz w:val="24"/>
          <w:szCs w:val="24"/>
          <w:vertAlign w:val="superscript"/>
        </w:rPr>
        <w:t>th</w:t>
      </w:r>
      <w:r w:rsidR="00A124FB">
        <w:rPr>
          <w:rFonts w:asciiTheme="majorBidi" w:hAnsiTheme="majorBidi" w:cstheme="majorBidi"/>
          <w:sz w:val="24"/>
          <w:szCs w:val="24"/>
        </w:rPr>
        <w:t>, 2014.</w:t>
      </w:r>
    </w:p>
    <w:p w14:paraId="0077EDFD" w14:textId="77777777" w:rsidR="0048440D" w:rsidRPr="0048440D" w:rsidRDefault="0048440D" w:rsidP="0048440D">
      <w:pPr>
        <w:pStyle w:val="ListParagraph"/>
        <w:rPr>
          <w:rFonts w:asciiTheme="majorBidi" w:hAnsiTheme="majorBidi" w:cstheme="majorBidi"/>
          <w:i/>
          <w:iCs/>
          <w:sz w:val="24"/>
          <w:szCs w:val="24"/>
        </w:rPr>
      </w:pPr>
    </w:p>
    <w:p w14:paraId="13F1ABC0" w14:textId="77777777" w:rsidR="0048440D" w:rsidRPr="007E14A0" w:rsidRDefault="0048440D" w:rsidP="0048440D">
      <w:pPr>
        <w:pStyle w:val="ListParagraph"/>
        <w:numPr>
          <w:ilvl w:val="0"/>
          <w:numId w:val="4"/>
        </w:numPr>
        <w:tabs>
          <w:tab w:val="left" w:pos="9000"/>
        </w:tabs>
        <w:rPr>
          <w:rFonts w:asciiTheme="majorBidi" w:hAnsiTheme="majorBidi" w:cstheme="majorBidi"/>
          <w:i/>
          <w:iCs/>
          <w:sz w:val="24"/>
          <w:szCs w:val="24"/>
        </w:rPr>
      </w:pPr>
      <w:r>
        <w:rPr>
          <w:rFonts w:asciiTheme="majorBidi" w:hAnsiTheme="majorBidi" w:cstheme="majorBidi"/>
          <w:sz w:val="24"/>
          <w:szCs w:val="24"/>
        </w:rPr>
        <w:t xml:space="preserve">Tradingeconomics.com (2014). Morocco GDP Growth Rate. Available at: </w:t>
      </w:r>
      <w:hyperlink r:id="rId35" w:history="1">
        <w:r w:rsidRPr="005714FD">
          <w:rPr>
            <w:rStyle w:val="Hyperlink"/>
            <w:rFonts w:asciiTheme="majorBidi" w:hAnsiTheme="majorBidi" w:cstheme="majorBidi"/>
            <w:sz w:val="24"/>
            <w:szCs w:val="24"/>
          </w:rPr>
          <w:t>http://www.tradingeconomics.com/morocco/gdp-growth</w:t>
        </w:r>
      </w:hyperlink>
      <w:r>
        <w:rPr>
          <w:rFonts w:asciiTheme="majorBidi" w:hAnsiTheme="majorBidi" w:cstheme="majorBidi"/>
          <w:sz w:val="24"/>
          <w:szCs w:val="24"/>
        </w:rPr>
        <w:t xml:space="preserve"> . Accessed: October 20</w:t>
      </w:r>
      <w:r>
        <w:rPr>
          <w:rFonts w:asciiTheme="majorBidi" w:hAnsiTheme="majorBidi" w:cstheme="majorBidi"/>
          <w:sz w:val="24"/>
          <w:szCs w:val="24"/>
          <w:vertAlign w:val="superscript"/>
        </w:rPr>
        <w:t>th</w:t>
      </w:r>
      <w:r>
        <w:rPr>
          <w:rFonts w:asciiTheme="majorBidi" w:hAnsiTheme="majorBidi" w:cstheme="majorBidi"/>
          <w:sz w:val="24"/>
          <w:szCs w:val="24"/>
        </w:rPr>
        <w:t>, 2014.</w:t>
      </w:r>
    </w:p>
    <w:p w14:paraId="39569801" w14:textId="77777777" w:rsidR="00CB72BF" w:rsidRPr="005C7482" w:rsidRDefault="00CB72BF" w:rsidP="00405416">
      <w:pPr>
        <w:pStyle w:val="ListParagraph"/>
        <w:tabs>
          <w:tab w:val="left" w:pos="9000"/>
        </w:tabs>
        <w:rPr>
          <w:rFonts w:asciiTheme="majorBidi" w:hAnsiTheme="majorBidi" w:cstheme="majorBidi"/>
          <w:i/>
          <w:iCs/>
          <w:sz w:val="24"/>
          <w:szCs w:val="24"/>
        </w:rPr>
      </w:pPr>
    </w:p>
    <w:p w14:paraId="4A1226A2" w14:textId="77777777" w:rsidR="00CB72BF" w:rsidRPr="001270BE" w:rsidRDefault="00CB72BF" w:rsidP="00CB72BF">
      <w:pPr>
        <w:pStyle w:val="ListParagraph"/>
        <w:numPr>
          <w:ilvl w:val="0"/>
          <w:numId w:val="4"/>
        </w:numPr>
        <w:rPr>
          <w:rFonts w:asciiTheme="majorBidi" w:hAnsiTheme="majorBidi" w:cstheme="majorBidi"/>
          <w:i/>
          <w:iCs/>
          <w:sz w:val="24"/>
          <w:szCs w:val="24"/>
        </w:rPr>
      </w:pPr>
      <w:r w:rsidRPr="001270BE">
        <w:rPr>
          <w:rFonts w:asciiTheme="majorBidi" w:hAnsiTheme="majorBidi" w:cstheme="majorBidi"/>
          <w:sz w:val="24"/>
          <w:szCs w:val="24"/>
        </w:rPr>
        <w:t xml:space="preserve">United States of America. Government Accountability office (2008). </w:t>
      </w:r>
      <w:r w:rsidRPr="001270BE">
        <w:rPr>
          <w:rFonts w:asciiTheme="majorBidi" w:hAnsiTheme="majorBidi" w:cstheme="majorBidi"/>
          <w:i/>
          <w:iCs/>
          <w:sz w:val="24"/>
          <w:szCs w:val="24"/>
        </w:rPr>
        <w:t>Vehicle Fuel Economy.</w:t>
      </w:r>
      <w:r w:rsidRPr="001270BE">
        <w:rPr>
          <w:rFonts w:asciiTheme="majorBidi" w:hAnsiTheme="majorBidi" w:cstheme="majorBidi"/>
          <w:sz w:val="24"/>
          <w:szCs w:val="24"/>
        </w:rPr>
        <w:t xml:space="preserve"> New York: Novinka books</w:t>
      </w:r>
      <w:r>
        <w:rPr>
          <w:rFonts w:asciiTheme="majorBidi" w:hAnsiTheme="majorBidi" w:cstheme="majorBidi"/>
          <w:sz w:val="24"/>
          <w:szCs w:val="24"/>
        </w:rPr>
        <w:t>.</w:t>
      </w:r>
    </w:p>
    <w:p w14:paraId="3560E2EE" w14:textId="77777777" w:rsidR="00CB72BF" w:rsidRPr="00684668" w:rsidRDefault="00CB72BF" w:rsidP="00CB72BF">
      <w:pPr>
        <w:pStyle w:val="ListParagraph"/>
        <w:tabs>
          <w:tab w:val="left" w:pos="9000"/>
        </w:tabs>
        <w:rPr>
          <w:rFonts w:asciiTheme="majorBidi" w:hAnsiTheme="majorBidi" w:cstheme="majorBidi"/>
          <w:i/>
          <w:iCs/>
          <w:sz w:val="24"/>
          <w:szCs w:val="24"/>
        </w:rPr>
      </w:pPr>
    </w:p>
    <w:p w14:paraId="60EE8246" w14:textId="77777777" w:rsidR="00CB72BF" w:rsidRPr="005C7482" w:rsidRDefault="00CB72BF" w:rsidP="00CB72BF">
      <w:pPr>
        <w:pStyle w:val="ListParagraph"/>
        <w:tabs>
          <w:tab w:val="left" w:pos="9000"/>
        </w:tabs>
        <w:rPr>
          <w:rFonts w:asciiTheme="majorBidi" w:hAnsiTheme="majorBidi" w:cstheme="majorBidi"/>
          <w:i/>
          <w:iCs/>
          <w:sz w:val="24"/>
          <w:szCs w:val="24"/>
        </w:rPr>
      </w:pPr>
    </w:p>
    <w:p w14:paraId="3908B203" w14:textId="77777777" w:rsidR="00CB72BF" w:rsidRPr="007E1149" w:rsidRDefault="00CB72BF" w:rsidP="00E75255">
      <w:pPr>
        <w:jc w:val="both"/>
        <w:rPr>
          <w:rFonts w:asciiTheme="majorBidi" w:hAnsiTheme="majorBidi" w:cstheme="majorBidi"/>
          <w:sz w:val="24"/>
          <w:szCs w:val="24"/>
        </w:rPr>
      </w:pPr>
      <w:r>
        <w:rPr>
          <w:rFonts w:asciiTheme="majorBidi" w:hAnsiTheme="majorBidi" w:cstheme="majorBidi"/>
          <w:sz w:val="24"/>
          <w:szCs w:val="24"/>
        </w:rPr>
        <w:t xml:space="preserve"> </w:t>
      </w:r>
    </w:p>
    <w:p w14:paraId="1DA1FD3A" w14:textId="77777777" w:rsidR="00AD32A9" w:rsidRPr="00DC3F4A" w:rsidRDefault="00AD32A9" w:rsidP="00E61548">
      <w:pPr>
        <w:rPr>
          <w:rFonts w:asciiTheme="majorBidi" w:hAnsiTheme="majorBidi" w:cstheme="majorBidi"/>
          <w:b/>
          <w:bCs/>
          <w:sz w:val="24"/>
          <w:szCs w:val="24"/>
        </w:rPr>
      </w:pPr>
    </w:p>
    <w:sectPr w:rsidR="00AD32A9" w:rsidRPr="00DC3F4A" w:rsidSect="001A2DBD">
      <w:footerReference w:type="default" r:id="rId3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8585F" w14:textId="77777777" w:rsidR="0023275B" w:rsidRDefault="0023275B" w:rsidP="00E27A84">
      <w:pPr>
        <w:spacing w:after="0" w:line="240" w:lineRule="auto"/>
      </w:pPr>
      <w:r>
        <w:separator/>
      </w:r>
    </w:p>
  </w:endnote>
  <w:endnote w:type="continuationSeparator" w:id="0">
    <w:p w14:paraId="55FBA397" w14:textId="77777777" w:rsidR="0023275B" w:rsidRDefault="0023275B" w:rsidP="00E2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27370"/>
      <w:docPartObj>
        <w:docPartGallery w:val="Page Numbers (Bottom of Page)"/>
        <w:docPartUnique/>
      </w:docPartObj>
    </w:sdtPr>
    <w:sdtEndPr>
      <w:rPr>
        <w:noProof/>
      </w:rPr>
    </w:sdtEndPr>
    <w:sdtContent>
      <w:p w14:paraId="2B53D7F1" w14:textId="77777777" w:rsidR="001A2DBD" w:rsidRDefault="001A2DBD" w:rsidP="00E75255">
        <w:pPr>
          <w:pStyle w:val="Footer"/>
          <w:pBdr>
            <w:top w:val="single" w:sz="4" w:space="1" w:color="auto"/>
          </w:pBdr>
          <w:jc w:val="center"/>
        </w:pPr>
        <w:r>
          <w:fldChar w:fldCharType="begin"/>
        </w:r>
        <w:r>
          <w:instrText xml:space="preserve"> PAGE   \* MERGEFORMAT </w:instrText>
        </w:r>
        <w:r>
          <w:fldChar w:fldCharType="separate"/>
        </w:r>
        <w:r w:rsidR="003D4928">
          <w:rPr>
            <w:noProof/>
          </w:rPr>
          <w:t>23</w:t>
        </w:r>
        <w:r>
          <w:rPr>
            <w:noProof/>
          </w:rPr>
          <w:fldChar w:fldCharType="end"/>
        </w:r>
      </w:p>
    </w:sdtContent>
  </w:sdt>
  <w:p w14:paraId="4A9007FA" w14:textId="77777777" w:rsidR="001A2DBD" w:rsidRDefault="001A2DBD" w:rsidP="00E7525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A02B6" w14:textId="77777777" w:rsidR="0023275B" w:rsidRDefault="0023275B" w:rsidP="00E27A84">
      <w:pPr>
        <w:spacing w:after="0" w:line="240" w:lineRule="auto"/>
      </w:pPr>
      <w:r>
        <w:separator/>
      </w:r>
    </w:p>
  </w:footnote>
  <w:footnote w:type="continuationSeparator" w:id="0">
    <w:p w14:paraId="1AC63A64" w14:textId="77777777" w:rsidR="0023275B" w:rsidRDefault="0023275B" w:rsidP="00E27A84">
      <w:pPr>
        <w:spacing w:after="0" w:line="240" w:lineRule="auto"/>
      </w:pPr>
      <w:r>
        <w:continuationSeparator/>
      </w:r>
    </w:p>
  </w:footnote>
  <w:footnote w:id="1">
    <w:p w14:paraId="06921986" w14:textId="77777777" w:rsidR="001A2DBD" w:rsidRPr="00680E57" w:rsidRDefault="001A2DBD" w:rsidP="002F1297">
      <w:pPr>
        <w:pStyle w:val="FootnoteText"/>
        <w:jc w:val="both"/>
        <w:rPr>
          <w:rFonts w:cs="Times New Roman"/>
          <w:b/>
          <w:bCs/>
        </w:rPr>
      </w:pPr>
      <w:r w:rsidRPr="00680E57">
        <w:rPr>
          <w:rStyle w:val="FootnoteReference"/>
          <w:rFonts w:cs="Times New Roman"/>
        </w:rPr>
        <w:footnoteRef/>
      </w:r>
      <w:r w:rsidRPr="00680E57">
        <w:rPr>
          <w:rStyle w:val="Strong"/>
          <w:rFonts w:cs="Times New Roman"/>
        </w:rPr>
        <w:t>FIA Foundation, International Energy Agency (IEA), International Transport Forum (ITF), United Nations Environment Programme (UNEP), and the International Council on Clean Transportation (ICCT).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6D06"/>
    <w:multiLevelType w:val="hybridMultilevel"/>
    <w:tmpl w:val="7778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E019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69FD507E"/>
    <w:multiLevelType w:val="hybridMultilevel"/>
    <w:tmpl w:val="7F86C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82EDF"/>
    <w:multiLevelType w:val="hybridMultilevel"/>
    <w:tmpl w:val="A06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E0"/>
    <w:rsid w:val="000044F6"/>
    <w:rsid w:val="00024C4E"/>
    <w:rsid w:val="0004082F"/>
    <w:rsid w:val="000468A6"/>
    <w:rsid w:val="00080634"/>
    <w:rsid w:val="00085D2A"/>
    <w:rsid w:val="00086D3F"/>
    <w:rsid w:val="000D09FC"/>
    <w:rsid w:val="000D1213"/>
    <w:rsid w:val="00106012"/>
    <w:rsid w:val="00113A2A"/>
    <w:rsid w:val="00123858"/>
    <w:rsid w:val="0013629E"/>
    <w:rsid w:val="00142243"/>
    <w:rsid w:val="00142362"/>
    <w:rsid w:val="001428BE"/>
    <w:rsid w:val="00144B06"/>
    <w:rsid w:val="00146515"/>
    <w:rsid w:val="001475E0"/>
    <w:rsid w:val="0018210D"/>
    <w:rsid w:val="00192B76"/>
    <w:rsid w:val="001A0D7E"/>
    <w:rsid w:val="001A2DBD"/>
    <w:rsid w:val="001D0C52"/>
    <w:rsid w:val="001D2575"/>
    <w:rsid w:val="001D3C0C"/>
    <w:rsid w:val="001D68AE"/>
    <w:rsid w:val="001F1E27"/>
    <w:rsid w:val="001F3DFA"/>
    <w:rsid w:val="00220288"/>
    <w:rsid w:val="002216DD"/>
    <w:rsid w:val="002316C2"/>
    <w:rsid w:val="0023275B"/>
    <w:rsid w:val="00236CBE"/>
    <w:rsid w:val="00250D65"/>
    <w:rsid w:val="002558D7"/>
    <w:rsid w:val="00256A7E"/>
    <w:rsid w:val="00266D2C"/>
    <w:rsid w:val="002671B9"/>
    <w:rsid w:val="002779F4"/>
    <w:rsid w:val="00284FA7"/>
    <w:rsid w:val="002856A0"/>
    <w:rsid w:val="00291832"/>
    <w:rsid w:val="002A74D1"/>
    <w:rsid w:val="002B358C"/>
    <w:rsid w:val="002B7E88"/>
    <w:rsid w:val="002C1036"/>
    <w:rsid w:val="002C234E"/>
    <w:rsid w:val="002D346C"/>
    <w:rsid w:val="002F1297"/>
    <w:rsid w:val="00322AB9"/>
    <w:rsid w:val="003558DB"/>
    <w:rsid w:val="003625F2"/>
    <w:rsid w:val="00366A8A"/>
    <w:rsid w:val="00371DBF"/>
    <w:rsid w:val="00372C4F"/>
    <w:rsid w:val="003778A9"/>
    <w:rsid w:val="00384F64"/>
    <w:rsid w:val="00386918"/>
    <w:rsid w:val="0038763D"/>
    <w:rsid w:val="00387779"/>
    <w:rsid w:val="0039591C"/>
    <w:rsid w:val="00397AE6"/>
    <w:rsid w:val="003A086E"/>
    <w:rsid w:val="003B672D"/>
    <w:rsid w:val="003C3826"/>
    <w:rsid w:val="003C474D"/>
    <w:rsid w:val="003D1C24"/>
    <w:rsid w:val="003D46C2"/>
    <w:rsid w:val="003D4928"/>
    <w:rsid w:val="003D5C68"/>
    <w:rsid w:val="003F0665"/>
    <w:rsid w:val="003F0CEB"/>
    <w:rsid w:val="00400228"/>
    <w:rsid w:val="0040263F"/>
    <w:rsid w:val="00405416"/>
    <w:rsid w:val="00414DE3"/>
    <w:rsid w:val="00415255"/>
    <w:rsid w:val="0041552B"/>
    <w:rsid w:val="0042026A"/>
    <w:rsid w:val="004669BA"/>
    <w:rsid w:val="0048440D"/>
    <w:rsid w:val="00486D12"/>
    <w:rsid w:val="004945B9"/>
    <w:rsid w:val="004A4E65"/>
    <w:rsid w:val="004B2C61"/>
    <w:rsid w:val="004D4F64"/>
    <w:rsid w:val="004D658B"/>
    <w:rsid w:val="004E71F6"/>
    <w:rsid w:val="004E7E2B"/>
    <w:rsid w:val="004F4446"/>
    <w:rsid w:val="004F6062"/>
    <w:rsid w:val="0050486C"/>
    <w:rsid w:val="00513554"/>
    <w:rsid w:val="00515888"/>
    <w:rsid w:val="00537201"/>
    <w:rsid w:val="005404D7"/>
    <w:rsid w:val="00551000"/>
    <w:rsid w:val="00551D83"/>
    <w:rsid w:val="00553C2A"/>
    <w:rsid w:val="00556E77"/>
    <w:rsid w:val="00560D5C"/>
    <w:rsid w:val="00561041"/>
    <w:rsid w:val="00562000"/>
    <w:rsid w:val="00571367"/>
    <w:rsid w:val="00572193"/>
    <w:rsid w:val="005737A6"/>
    <w:rsid w:val="00597577"/>
    <w:rsid w:val="005A2582"/>
    <w:rsid w:val="005A2880"/>
    <w:rsid w:val="005B0974"/>
    <w:rsid w:val="005D404F"/>
    <w:rsid w:val="005F4782"/>
    <w:rsid w:val="005F6357"/>
    <w:rsid w:val="00600E4A"/>
    <w:rsid w:val="00603601"/>
    <w:rsid w:val="00610282"/>
    <w:rsid w:val="00615A1A"/>
    <w:rsid w:val="00616116"/>
    <w:rsid w:val="00627E57"/>
    <w:rsid w:val="006516B5"/>
    <w:rsid w:val="00662066"/>
    <w:rsid w:val="006726F5"/>
    <w:rsid w:val="00690E71"/>
    <w:rsid w:val="006A2772"/>
    <w:rsid w:val="006B1FC5"/>
    <w:rsid w:val="006B47C8"/>
    <w:rsid w:val="006B7CA0"/>
    <w:rsid w:val="006C0209"/>
    <w:rsid w:val="006C7D12"/>
    <w:rsid w:val="006D289C"/>
    <w:rsid w:val="006D2EA2"/>
    <w:rsid w:val="006D5849"/>
    <w:rsid w:val="006E5699"/>
    <w:rsid w:val="006E632F"/>
    <w:rsid w:val="006F3A40"/>
    <w:rsid w:val="00703763"/>
    <w:rsid w:val="00704425"/>
    <w:rsid w:val="00724778"/>
    <w:rsid w:val="00724CC3"/>
    <w:rsid w:val="00752C48"/>
    <w:rsid w:val="00754A9D"/>
    <w:rsid w:val="00763C06"/>
    <w:rsid w:val="007675B7"/>
    <w:rsid w:val="00780BFB"/>
    <w:rsid w:val="00787CEA"/>
    <w:rsid w:val="007967FB"/>
    <w:rsid w:val="007A3AB6"/>
    <w:rsid w:val="007B2DBD"/>
    <w:rsid w:val="007B411A"/>
    <w:rsid w:val="007B463E"/>
    <w:rsid w:val="007B4FE7"/>
    <w:rsid w:val="007B5E8E"/>
    <w:rsid w:val="007C27C4"/>
    <w:rsid w:val="007C5815"/>
    <w:rsid w:val="00807CEA"/>
    <w:rsid w:val="00814566"/>
    <w:rsid w:val="00816628"/>
    <w:rsid w:val="00816D25"/>
    <w:rsid w:val="00817691"/>
    <w:rsid w:val="008438C6"/>
    <w:rsid w:val="00843FDF"/>
    <w:rsid w:val="00851EA6"/>
    <w:rsid w:val="00852E43"/>
    <w:rsid w:val="00857D31"/>
    <w:rsid w:val="00861DEA"/>
    <w:rsid w:val="008675E7"/>
    <w:rsid w:val="00871D81"/>
    <w:rsid w:val="008815BC"/>
    <w:rsid w:val="008922B7"/>
    <w:rsid w:val="00895399"/>
    <w:rsid w:val="008A2C13"/>
    <w:rsid w:val="008A744F"/>
    <w:rsid w:val="008A7E8F"/>
    <w:rsid w:val="008C4B97"/>
    <w:rsid w:val="008D2D4F"/>
    <w:rsid w:val="008D414B"/>
    <w:rsid w:val="008E1D8E"/>
    <w:rsid w:val="0090250A"/>
    <w:rsid w:val="00912B3A"/>
    <w:rsid w:val="00914C09"/>
    <w:rsid w:val="009243D2"/>
    <w:rsid w:val="00942C5E"/>
    <w:rsid w:val="00944AFF"/>
    <w:rsid w:val="00945FB9"/>
    <w:rsid w:val="0095638A"/>
    <w:rsid w:val="009629F0"/>
    <w:rsid w:val="00967321"/>
    <w:rsid w:val="00996A29"/>
    <w:rsid w:val="009A5F27"/>
    <w:rsid w:val="009C0100"/>
    <w:rsid w:val="009C0195"/>
    <w:rsid w:val="009C4974"/>
    <w:rsid w:val="009D3B7F"/>
    <w:rsid w:val="009D52F9"/>
    <w:rsid w:val="009D54D7"/>
    <w:rsid w:val="009E3B6D"/>
    <w:rsid w:val="009E4A1D"/>
    <w:rsid w:val="009F3A9F"/>
    <w:rsid w:val="009F6C9A"/>
    <w:rsid w:val="009F7F69"/>
    <w:rsid w:val="00A022B8"/>
    <w:rsid w:val="00A04CBA"/>
    <w:rsid w:val="00A06CBD"/>
    <w:rsid w:val="00A124FB"/>
    <w:rsid w:val="00A15AB0"/>
    <w:rsid w:val="00A301DC"/>
    <w:rsid w:val="00A4324B"/>
    <w:rsid w:val="00A74B72"/>
    <w:rsid w:val="00A76A24"/>
    <w:rsid w:val="00AB4106"/>
    <w:rsid w:val="00AB4FA2"/>
    <w:rsid w:val="00AC099F"/>
    <w:rsid w:val="00AC696D"/>
    <w:rsid w:val="00AD32A9"/>
    <w:rsid w:val="00AD5186"/>
    <w:rsid w:val="00AE3A15"/>
    <w:rsid w:val="00AF068C"/>
    <w:rsid w:val="00AF48B2"/>
    <w:rsid w:val="00AF6675"/>
    <w:rsid w:val="00B01473"/>
    <w:rsid w:val="00B04208"/>
    <w:rsid w:val="00B15B02"/>
    <w:rsid w:val="00B15EBB"/>
    <w:rsid w:val="00B20ACE"/>
    <w:rsid w:val="00B2480C"/>
    <w:rsid w:val="00B42281"/>
    <w:rsid w:val="00B457EE"/>
    <w:rsid w:val="00B47AC7"/>
    <w:rsid w:val="00B553C0"/>
    <w:rsid w:val="00B72EF9"/>
    <w:rsid w:val="00B80FC7"/>
    <w:rsid w:val="00B817FE"/>
    <w:rsid w:val="00B82523"/>
    <w:rsid w:val="00B84946"/>
    <w:rsid w:val="00B960DE"/>
    <w:rsid w:val="00BB20A4"/>
    <w:rsid w:val="00BD18AA"/>
    <w:rsid w:val="00BD191E"/>
    <w:rsid w:val="00BD55F2"/>
    <w:rsid w:val="00BF242D"/>
    <w:rsid w:val="00C361DD"/>
    <w:rsid w:val="00C41DF0"/>
    <w:rsid w:val="00C51423"/>
    <w:rsid w:val="00C57005"/>
    <w:rsid w:val="00C60A86"/>
    <w:rsid w:val="00C725C0"/>
    <w:rsid w:val="00C72F62"/>
    <w:rsid w:val="00C9220D"/>
    <w:rsid w:val="00CA0222"/>
    <w:rsid w:val="00CA0325"/>
    <w:rsid w:val="00CA78AD"/>
    <w:rsid w:val="00CA7C29"/>
    <w:rsid w:val="00CB01D9"/>
    <w:rsid w:val="00CB174C"/>
    <w:rsid w:val="00CB2A64"/>
    <w:rsid w:val="00CB5F54"/>
    <w:rsid w:val="00CB72BF"/>
    <w:rsid w:val="00CC384B"/>
    <w:rsid w:val="00CD447E"/>
    <w:rsid w:val="00CD4F1B"/>
    <w:rsid w:val="00CD5623"/>
    <w:rsid w:val="00CF5883"/>
    <w:rsid w:val="00D0130E"/>
    <w:rsid w:val="00D038D1"/>
    <w:rsid w:val="00D10057"/>
    <w:rsid w:val="00D22BCE"/>
    <w:rsid w:val="00D3152A"/>
    <w:rsid w:val="00D35EE1"/>
    <w:rsid w:val="00D40AA3"/>
    <w:rsid w:val="00D47B99"/>
    <w:rsid w:val="00D50F6C"/>
    <w:rsid w:val="00D55788"/>
    <w:rsid w:val="00D612F3"/>
    <w:rsid w:val="00D708F4"/>
    <w:rsid w:val="00D73FED"/>
    <w:rsid w:val="00D956F0"/>
    <w:rsid w:val="00DA731F"/>
    <w:rsid w:val="00DC3F4A"/>
    <w:rsid w:val="00DC6BA3"/>
    <w:rsid w:val="00DD3F64"/>
    <w:rsid w:val="00DD45B9"/>
    <w:rsid w:val="00DE0BBE"/>
    <w:rsid w:val="00DE0CE9"/>
    <w:rsid w:val="00DE20E8"/>
    <w:rsid w:val="00DE7EEE"/>
    <w:rsid w:val="00E132F1"/>
    <w:rsid w:val="00E1401D"/>
    <w:rsid w:val="00E15BC1"/>
    <w:rsid w:val="00E23510"/>
    <w:rsid w:val="00E26DA6"/>
    <w:rsid w:val="00E27A84"/>
    <w:rsid w:val="00E33410"/>
    <w:rsid w:val="00E36450"/>
    <w:rsid w:val="00E36ED4"/>
    <w:rsid w:val="00E41B1B"/>
    <w:rsid w:val="00E46692"/>
    <w:rsid w:val="00E54FCE"/>
    <w:rsid w:val="00E57AA5"/>
    <w:rsid w:val="00E61548"/>
    <w:rsid w:val="00E72194"/>
    <w:rsid w:val="00E75255"/>
    <w:rsid w:val="00E80038"/>
    <w:rsid w:val="00E82A65"/>
    <w:rsid w:val="00EA0569"/>
    <w:rsid w:val="00EA3CD0"/>
    <w:rsid w:val="00EC5F7E"/>
    <w:rsid w:val="00EC6388"/>
    <w:rsid w:val="00EC6A27"/>
    <w:rsid w:val="00EC7995"/>
    <w:rsid w:val="00ED47C8"/>
    <w:rsid w:val="00ED59DE"/>
    <w:rsid w:val="00F0176E"/>
    <w:rsid w:val="00F10DFD"/>
    <w:rsid w:val="00F20D59"/>
    <w:rsid w:val="00F22A2F"/>
    <w:rsid w:val="00F36AFF"/>
    <w:rsid w:val="00F4428A"/>
    <w:rsid w:val="00F5303D"/>
    <w:rsid w:val="00F55172"/>
    <w:rsid w:val="00F57E25"/>
    <w:rsid w:val="00F768A7"/>
    <w:rsid w:val="00F76E32"/>
    <w:rsid w:val="00F8722E"/>
    <w:rsid w:val="00F94E89"/>
    <w:rsid w:val="00FA018E"/>
    <w:rsid w:val="00FE1CFB"/>
    <w:rsid w:val="00FE3761"/>
    <w:rsid w:val="00FE4F00"/>
    <w:rsid w:val="00FF2379"/>
    <w:rsid w:val="00FF3F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E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28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28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228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28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28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28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28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28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28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450"/>
    <w:rPr>
      <w:rFonts w:ascii="Tahoma" w:hAnsi="Tahoma" w:cs="Tahoma"/>
      <w:sz w:val="16"/>
      <w:szCs w:val="16"/>
    </w:rPr>
  </w:style>
  <w:style w:type="paragraph" w:styleId="Header">
    <w:name w:val="header"/>
    <w:basedOn w:val="Normal"/>
    <w:link w:val="HeaderChar"/>
    <w:uiPriority w:val="99"/>
    <w:unhideWhenUsed/>
    <w:rsid w:val="00E2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A84"/>
  </w:style>
  <w:style w:type="paragraph" w:styleId="Footer">
    <w:name w:val="footer"/>
    <w:basedOn w:val="Normal"/>
    <w:link w:val="FooterChar"/>
    <w:uiPriority w:val="99"/>
    <w:unhideWhenUsed/>
    <w:rsid w:val="00E2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A84"/>
  </w:style>
  <w:style w:type="paragraph" w:styleId="FootnoteText">
    <w:name w:val="footnote text"/>
    <w:basedOn w:val="Normal"/>
    <w:link w:val="FootnoteTextChar"/>
    <w:uiPriority w:val="99"/>
    <w:semiHidden/>
    <w:unhideWhenUsed/>
    <w:rsid w:val="002F1297"/>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2F1297"/>
    <w:rPr>
      <w:rFonts w:eastAsiaTheme="minorEastAsia"/>
      <w:sz w:val="20"/>
      <w:szCs w:val="20"/>
      <w:lang w:val="en-GB" w:eastAsia="en-GB"/>
    </w:rPr>
  </w:style>
  <w:style w:type="character" w:styleId="FootnoteReference">
    <w:name w:val="footnote reference"/>
    <w:basedOn w:val="DefaultParagraphFont"/>
    <w:uiPriority w:val="99"/>
    <w:unhideWhenUsed/>
    <w:rsid w:val="002F1297"/>
    <w:rPr>
      <w:vertAlign w:val="superscript"/>
    </w:rPr>
  </w:style>
  <w:style w:type="character" w:styleId="Strong">
    <w:name w:val="Strong"/>
    <w:basedOn w:val="DefaultParagraphFont"/>
    <w:uiPriority w:val="22"/>
    <w:qFormat/>
    <w:rsid w:val="002F1297"/>
    <w:rPr>
      <w:b/>
      <w:bCs/>
    </w:rPr>
  </w:style>
  <w:style w:type="table" w:customStyle="1" w:styleId="LightList1">
    <w:name w:val="Light List1"/>
    <w:basedOn w:val="TableNormal"/>
    <w:uiPriority w:val="61"/>
    <w:rsid w:val="009F6C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B422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22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22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2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22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22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22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22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2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1769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3B672D"/>
    <w:pPr>
      <w:spacing w:after="0"/>
    </w:pPr>
  </w:style>
  <w:style w:type="character" w:styleId="Hyperlink">
    <w:name w:val="Hyperlink"/>
    <w:basedOn w:val="DefaultParagraphFont"/>
    <w:uiPriority w:val="99"/>
    <w:unhideWhenUsed/>
    <w:rsid w:val="003B672D"/>
    <w:rPr>
      <w:color w:val="0000FF" w:themeColor="hyperlink"/>
      <w:u w:val="single"/>
    </w:rPr>
  </w:style>
  <w:style w:type="paragraph" w:styleId="TOCHeading">
    <w:name w:val="TOC Heading"/>
    <w:basedOn w:val="Heading1"/>
    <w:next w:val="Normal"/>
    <w:uiPriority w:val="39"/>
    <w:unhideWhenUsed/>
    <w:qFormat/>
    <w:rsid w:val="003B672D"/>
    <w:pPr>
      <w:numPr>
        <w:numId w:val="0"/>
      </w:numPr>
      <w:outlineLvl w:val="9"/>
    </w:pPr>
    <w:rPr>
      <w:lang w:eastAsia="ja-JP"/>
    </w:rPr>
  </w:style>
  <w:style w:type="paragraph" w:styleId="TOC1">
    <w:name w:val="toc 1"/>
    <w:basedOn w:val="Normal"/>
    <w:next w:val="Normal"/>
    <w:autoRedefine/>
    <w:uiPriority w:val="39"/>
    <w:unhideWhenUsed/>
    <w:rsid w:val="00E75255"/>
    <w:pPr>
      <w:tabs>
        <w:tab w:val="left" w:pos="440"/>
        <w:tab w:val="right" w:leader="dot" w:pos="9350"/>
      </w:tabs>
      <w:spacing w:after="100"/>
      <w:jc w:val="both"/>
    </w:pPr>
  </w:style>
  <w:style w:type="paragraph" w:styleId="TOC2">
    <w:name w:val="toc 2"/>
    <w:basedOn w:val="Normal"/>
    <w:next w:val="Normal"/>
    <w:autoRedefine/>
    <w:uiPriority w:val="39"/>
    <w:unhideWhenUsed/>
    <w:rsid w:val="003B672D"/>
    <w:pPr>
      <w:spacing w:after="100"/>
      <w:ind w:left="220"/>
    </w:pPr>
  </w:style>
  <w:style w:type="paragraph" w:styleId="ListParagraph">
    <w:name w:val="List Paragraph"/>
    <w:basedOn w:val="Normal"/>
    <w:uiPriority w:val="34"/>
    <w:qFormat/>
    <w:rsid w:val="00CB72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228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28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228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28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28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28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28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28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28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450"/>
    <w:rPr>
      <w:rFonts w:ascii="Tahoma" w:hAnsi="Tahoma" w:cs="Tahoma"/>
      <w:sz w:val="16"/>
      <w:szCs w:val="16"/>
    </w:rPr>
  </w:style>
  <w:style w:type="paragraph" w:styleId="Header">
    <w:name w:val="header"/>
    <w:basedOn w:val="Normal"/>
    <w:link w:val="HeaderChar"/>
    <w:uiPriority w:val="99"/>
    <w:unhideWhenUsed/>
    <w:rsid w:val="00E2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A84"/>
  </w:style>
  <w:style w:type="paragraph" w:styleId="Footer">
    <w:name w:val="footer"/>
    <w:basedOn w:val="Normal"/>
    <w:link w:val="FooterChar"/>
    <w:uiPriority w:val="99"/>
    <w:unhideWhenUsed/>
    <w:rsid w:val="00E2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A84"/>
  </w:style>
  <w:style w:type="paragraph" w:styleId="FootnoteText">
    <w:name w:val="footnote text"/>
    <w:basedOn w:val="Normal"/>
    <w:link w:val="FootnoteTextChar"/>
    <w:uiPriority w:val="99"/>
    <w:semiHidden/>
    <w:unhideWhenUsed/>
    <w:rsid w:val="002F1297"/>
    <w:pPr>
      <w:spacing w:after="0" w:line="240" w:lineRule="auto"/>
    </w:pPr>
    <w:rPr>
      <w:rFonts w:eastAsiaTheme="minorEastAsia"/>
      <w:sz w:val="20"/>
      <w:szCs w:val="20"/>
      <w:lang w:val="en-GB" w:eastAsia="en-GB"/>
    </w:rPr>
  </w:style>
  <w:style w:type="character" w:customStyle="1" w:styleId="FootnoteTextChar">
    <w:name w:val="Footnote Text Char"/>
    <w:basedOn w:val="DefaultParagraphFont"/>
    <w:link w:val="FootnoteText"/>
    <w:uiPriority w:val="99"/>
    <w:semiHidden/>
    <w:rsid w:val="002F1297"/>
    <w:rPr>
      <w:rFonts w:eastAsiaTheme="minorEastAsia"/>
      <w:sz w:val="20"/>
      <w:szCs w:val="20"/>
      <w:lang w:val="en-GB" w:eastAsia="en-GB"/>
    </w:rPr>
  </w:style>
  <w:style w:type="character" w:styleId="FootnoteReference">
    <w:name w:val="footnote reference"/>
    <w:basedOn w:val="DefaultParagraphFont"/>
    <w:uiPriority w:val="99"/>
    <w:unhideWhenUsed/>
    <w:rsid w:val="002F1297"/>
    <w:rPr>
      <w:vertAlign w:val="superscript"/>
    </w:rPr>
  </w:style>
  <w:style w:type="character" w:styleId="Strong">
    <w:name w:val="Strong"/>
    <w:basedOn w:val="DefaultParagraphFont"/>
    <w:uiPriority w:val="22"/>
    <w:qFormat/>
    <w:rsid w:val="002F1297"/>
    <w:rPr>
      <w:b/>
      <w:bCs/>
    </w:rPr>
  </w:style>
  <w:style w:type="table" w:customStyle="1" w:styleId="LightList1">
    <w:name w:val="Light List1"/>
    <w:basedOn w:val="TableNormal"/>
    <w:uiPriority w:val="61"/>
    <w:rsid w:val="009F6C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B422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22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228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2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228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228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228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228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28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1769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3B672D"/>
    <w:pPr>
      <w:spacing w:after="0"/>
    </w:pPr>
  </w:style>
  <w:style w:type="character" w:styleId="Hyperlink">
    <w:name w:val="Hyperlink"/>
    <w:basedOn w:val="DefaultParagraphFont"/>
    <w:uiPriority w:val="99"/>
    <w:unhideWhenUsed/>
    <w:rsid w:val="003B672D"/>
    <w:rPr>
      <w:color w:val="0000FF" w:themeColor="hyperlink"/>
      <w:u w:val="single"/>
    </w:rPr>
  </w:style>
  <w:style w:type="paragraph" w:styleId="TOCHeading">
    <w:name w:val="TOC Heading"/>
    <w:basedOn w:val="Heading1"/>
    <w:next w:val="Normal"/>
    <w:uiPriority w:val="39"/>
    <w:unhideWhenUsed/>
    <w:qFormat/>
    <w:rsid w:val="003B672D"/>
    <w:pPr>
      <w:numPr>
        <w:numId w:val="0"/>
      </w:numPr>
      <w:outlineLvl w:val="9"/>
    </w:pPr>
    <w:rPr>
      <w:lang w:eastAsia="ja-JP"/>
    </w:rPr>
  </w:style>
  <w:style w:type="paragraph" w:styleId="TOC1">
    <w:name w:val="toc 1"/>
    <w:basedOn w:val="Normal"/>
    <w:next w:val="Normal"/>
    <w:autoRedefine/>
    <w:uiPriority w:val="39"/>
    <w:unhideWhenUsed/>
    <w:rsid w:val="00E75255"/>
    <w:pPr>
      <w:tabs>
        <w:tab w:val="left" w:pos="440"/>
        <w:tab w:val="right" w:leader="dot" w:pos="9350"/>
      </w:tabs>
      <w:spacing w:after="100"/>
      <w:jc w:val="both"/>
    </w:pPr>
  </w:style>
  <w:style w:type="paragraph" w:styleId="TOC2">
    <w:name w:val="toc 2"/>
    <w:basedOn w:val="Normal"/>
    <w:next w:val="Normal"/>
    <w:autoRedefine/>
    <w:uiPriority w:val="39"/>
    <w:unhideWhenUsed/>
    <w:rsid w:val="003B672D"/>
    <w:pPr>
      <w:spacing w:after="100"/>
      <w:ind w:left="220"/>
    </w:pPr>
  </w:style>
  <w:style w:type="paragraph" w:styleId="ListParagraph">
    <w:name w:val="List Paragraph"/>
    <w:basedOn w:val="Normal"/>
    <w:uiPriority w:val="34"/>
    <w:qFormat/>
    <w:rsid w:val="00CB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99">
      <w:bodyDiv w:val="1"/>
      <w:marLeft w:val="0"/>
      <w:marRight w:val="0"/>
      <w:marTop w:val="0"/>
      <w:marBottom w:val="0"/>
      <w:divBdr>
        <w:top w:val="none" w:sz="0" w:space="0" w:color="auto"/>
        <w:left w:val="none" w:sz="0" w:space="0" w:color="auto"/>
        <w:bottom w:val="none" w:sz="0" w:space="0" w:color="auto"/>
        <w:right w:val="none" w:sz="0" w:space="0" w:color="auto"/>
      </w:divBdr>
    </w:div>
    <w:div w:id="233391104">
      <w:bodyDiv w:val="1"/>
      <w:marLeft w:val="0"/>
      <w:marRight w:val="0"/>
      <w:marTop w:val="0"/>
      <w:marBottom w:val="0"/>
      <w:divBdr>
        <w:top w:val="none" w:sz="0" w:space="0" w:color="auto"/>
        <w:left w:val="none" w:sz="0" w:space="0" w:color="auto"/>
        <w:bottom w:val="none" w:sz="0" w:space="0" w:color="auto"/>
        <w:right w:val="none" w:sz="0" w:space="0" w:color="auto"/>
      </w:divBdr>
    </w:div>
    <w:div w:id="259726226">
      <w:bodyDiv w:val="1"/>
      <w:marLeft w:val="0"/>
      <w:marRight w:val="0"/>
      <w:marTop w:val="0"/>
      <w:marBottom w:val="0"/>
      <w:divBdr>
        <w:top w:val="none" w:sz="0" w:space="0" w:color="auto"/>
        <w:left w:val="none" w:sz="0" w:space="0" w:color="auto"/>
        <w:bottom w:val="none" w:sz="0" w:space="0" w:color="auto"/>
        <w:right w:val="none" w:sz="0" w:space="0" w:color="auto"/>
      </w:divBdr>
    </w:div>
    <w:div w:id="427779604">
      <w:bodyDiv w:val="1"/>
      <w:marLeft w:val="0"/>
      <w:marRight w:val="0"/>
      <w:marTop w:val="0"/>
      <w:marBottom w:val="0"/>
      <w:divBdr>
        <w:top w:val="none" w:sz="0" w:space="0" w:color="auto"/>
        <w:left w:val="none" w:sz="0" w:space="0" w:color="auto"/>
        <w:bottom w:val="none" w:sz="0" w:space="0" w:color="auto"/>
        <w:right w:val="none" w:sz="0" w:space="0" w:color="auto"/>
      </w:divBdr>
    </w:div>
    <w:div w:id="820584397">
      <w:bodyDiv w:val="1"/>
      <w:marLeft w:val="0"/>
      <w:marRight w:val="0"/>
      <w:marTop w:val="0"/>
      <w:marBottom w:val="0"/>
      <w:divBdr>
        <w:top w:val="none" w:sz="0" w:space="0" w:color="auto"/>
        <w:left w:val="none" w:sz="0" w:space="0" w:color="auto"/>
        <w:bottom w:val="none" w:sz="0" w:space="0" w:color="auto"/>
        <w:right w:val="none" w:sz="0" w:space="0" w:color="auto"/>
      </w:divBdr>
    </w:div>
    <w:div w:id="864249035">
      <w:bodyDiv w:val="1"/>
      <w:marLeft w:val="0"/>
      <w:marRight w:val="0"/>
      <w:marTop w:val="0"/>
      <w:marBottom w:val="0"/>
      <w:divBdr>
        <w:top w:val="none" w:sz="0" w:space="0" w:color="auto"/>
        <w:left w:val="none" w:sz="0" w:space="0" w:color="auto"/>
        <w:bottom w:val="none" w:sz="0" w:space="0" w:color="auto"/>
        <w:right w:val="none" w:sz="0" w:space="0" w:color="auto"/>
      </w:divBdr>
    </w:div>
    <w:div w:id="1023550572">
      <w:bodyDiv w:val="1"/>
      <w:marLeft w:val="0"/>
      <w:marRight w:val="0"/>
      <w:marTop w:val="0"/>
      <w:marBottom w:val="0"/>
      <w:divBdr>
        <w:top w:val="none" w:sz="0" w:space="0" w:color="auto"/>
        <w:left w:val="none" w:sz="0" w:space="0" w:color="auto"/>
        <w:bottom w:val="none" w:sz="0" w:space="0" w:color="auto"/>
        <w:right w:val="none" w:sz="0" w:space="0" w:color="auto"/>
      </w:divBdr>
    </w:div>
    <w:div w:id="1039672810">
      <w:bodyDiv w:val="1"/>
      <w:marLeft w:val="0"/>
      <w:marRight w:val="0"/>
      <w:marTop w:val="0"/>
      <w:marBottom w:val="0"/>
      <w:divBdr>
        <w:top w:val="none" w:sz="0" w:space="0" w:color="auto"/>
        <w:left w:val="none" w:sz="0" w:space="0" w:color="auto"/>
        <w:bottom w:val="none" w:sz="0" w:space="0" w:color="auto"/>
        <w:right w:val="none" w:sz="0" w:space="0" w:color="auto"/>
      </w:divBdr>
    </w:div>
    <w:div w:id="1240361343">
      <w:bodyDiv w:val="1"/>
      <w:marLeft w:val="0"/>
      <w:marRight w:val="0"/>
      <w:marTop w:val="0"/>
      <w:marBottom w:val="0"/>
      <w:divBdr>
        <w:top w:val="none" w:sz="0" w:space="0" w:color="auto"/>
        <w:left w:val="none" w:sz="0" w:space="0" w:color="auto"/>
        <w:bottom w:val="none" w:sz="0" w:space="0" w:color="auto"/>
        <w:right w:val="none" w:sz="0" w:space="0" w:color="auto"/>
      </w:divBdr>
    </w:div>
    <w:div w:id="1449929167">
      <w:bodyDiv w:val="1"/>
      <w:marLeft w:val="0"/>
      <w:marRight w:val="0"/>
      <w:marTop w:val="0"/>
      <w:marBottom w:val="0"/>
      <w:divBdr>
        <w:top w:val="none" w:sz="0" w:space="0" w:color="auto"/>
        <w:left w:val="none" w:sz="0" w:space="0" w:color="auto"/>
        <w:bottom w:val="none" w:sz="0" w:space="0" w:color="auto"/>
        <w:right w:val="none" w:sz="0" w:space="0" w:color="auto"/>
      </w:divBdr>
    </w:div>
    <w:div w:id="1750618277">
      <w:bodyDiv w:val="1"/>
      <w:marLeft w:val="0"/>
      <w:marRight w:val="0"/>
      <w:marTop w:val="0"/>
      <w:marBottom w:val="0"/>
      <w:divBdr>
        <w:top w:val="none" w:sz="0" w:space="0" w:color="auto"/>
        <w:left w:val="none" w:sz="0" w:space="0" w:color="auto"/>
        <w:bottom w:val="none" w:sz="0" w:space="0" w:color="auto"/>
        <w:right w:val="none" w:sz="0" w:space="0" w:color="auto"/>
      </w:divBdr>
    </w:div>
    <w:div w:id="1757483584">
      <w:bodyDiv w:val="1"/>
      <w:marLeft w:val="0"/>
      <w:marRight w:val="0"/>
      <w:marTop w:val="0"/>
      <w:marBottom w:val="0"/>
      <w:divBdr>
        <w:top w:val="none" w:sz="0" w:space="0" w:color="auto"/>
        <w:left w:val="none" w:sz="0" w:space="0" w:color="auto"/>
        <w:bottom w:val="none" w:sz="0" w:space="0" w:color="auto"/>
        <w:right w:val="none" w:sz="0" w:space="0" w:color="auto"/>
      </w:divBdr>
    </w:div>
    <w:div w:id="1759910671">
      <w:bodyDiv w:val="1"/>
      <w:marLeft w:val="0"/>
      <w:marRight w:val="0"/>
      <w:marTop w:val="0"/>
      <w:marBottom w:val="0"/>
      <w:divBdr>
        <w:top w:val="none" w:sz="0" w:space="0" w:color="auto"/>
        <w:left w:val="none" w:sz="0" w:space="0" w:color="auto"/>
        <w:bottom w:val="none" w:sz="0" w:space="0" w:color="auto"/>
        <w:right w:val="none" w:sz="0" w:space="0" w:color="auto"/>
      </w:divBdr>
    </w:div>
    <w:div w:id="1856845014">
      <w:bodyDiv w:val="1"/>
      <w:marLeft w:val="0"/>
      <w:marRight w:val="0"/>
      <w:marTop w:val="0"/>
      <w:marBottom w:val="0"/>
      <w:divBdr>
        <w:top w:val="none" w:sz="0" w:space="0" w:color="auto"/>
        <w:left w:val="none" w:sz="0" w:space="0" w:color="auto"/>
        <w:bottom w:val="none" w:sz="0" w:space="0" w:color="auto"/>
        <w:right w:val="none" w:sz="0" w:space="0" w:color="auto"/>
      </w:divBdr>
    </w:div>
    <w:div w:id="1918247214">
      <w:bodyDiv w:val="1"/>
      <w:marLeft w:val="0"/>
      <w:marRight w:val="0"/>
      <w:marTop w:val="0"/>
      <w:marBottom w:val="0"/>
      <w:divBdr>
        <w:top w:val="none" w:sz="0" w:space="0" w:color="auto"/>
        <w:left w:val="none" w:sz="0" w:space="0" w:color="auto"/>
        <w:bottom w:val="none" w:sz="0" w:space="0" w:color="auto"/>
        <w:right w:val="none" w:sz="0" w:space="0" w:color="auto"/>
      </w:divBdr>
    </w:div>
    <w:div w:id="20455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unep.org/transport/gfei/autotool/case_studies/europe/cs_eu_0.asp" TargetMode="External"/><Relationship Id="rId3" Type="http://schemas.openxmlformats.org/officeDocument/2006/relationships/styles" Target="styles.xml"/><Relationship Id="rId21" Type="http://schemas.openxmlformats.org/officeDocument/2006/relationships/hyperlink" Target="http://www.c2es.org/federal/executive/vehicle-standards" TargetMode="External"/><Relationship Id="rId34" Type="http://schemas.openxmlformats.org/officeDocument/2006/relationships/hyperlink" Target="http://www.oica.net/category/about-u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unep.org/transport/gfei/autotool/nextsteps/developing_a_baseline.asp" TargetMode="External"/><Relationship Id="rId33" Type="http://schemas.openxmlformats.org/officeDocument/2006/relationships/hyperlink" Target="http://www.theglobaleconomy.com/Morocco/CO2_emissions_from_transport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www.quandl.com/UN/DEV_POPULATIONTOTAL_EGY-Population-Total-Egy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cia.gov/library/publications/the-world-factbook/geos/mo.html" TargetMode="External"/><Relationship Id="rId32" Type="http://schemas.openxmlformats.org/officeDocument/2006/relationships/hyperlink" Target="https://www.quandl.com/WORLDBANK/TUN_SI_POV_GINI-Tunisia-GINI-inde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ww.cia.gov/library/publications/the-world-factbook/geos/mo.html" TargetMode="External"/><Relationship Id="rId28" Type="http://schemas.openxmlformats.org/officeDocument/2006/relationships/hyperlink" Target="https://www.quandl.com/WORLDBANK/EGY_SI_POV_GINI-Egypt-Arab-Rep-GINI-index"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www.quandl.com/UN/DEV_POPULATIONTOTAL_MAR-Population-Total-Moroc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cia.gov/library/publications/the-world-factbook/geos/ts.html" TargetMode="External"/><Relationship Id="rId27" Type="http://schemas.openxmlformats.org/officeDocument/2006/relationships/hyperlink" Target="http://www.unep.org/transport/gfei/autotool/case_studies/northamerica/cs_us_0.asp" TargetMode="External"/><Relationship Id="rId30" Type="http://schemas.openxmlformats.org/officeDocument/2006/relationships/hyperlink" Target="https://www.quandl.com/WORLDBANK/MAR_SI_POV_GINI-Morocco-GINI-index" TargetMode="External"/><Relationship Id="rId35" Type="http://schemas.openxmlformats.org/officeDocument/2006/relationships/hyperlink" Target="http://www.tradingeconomics.com/morocco/gdp-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B5D06-6B14-4EFF-B629-4FF1427B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7387</Words>
  <Characters>42108</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bimo</dc:creator>
  <cp:lastModifiedBy>bimo</cp:lastModifiedBy>
  <cp:revision>2</cp:revision>
  <dcterms:created xsi:type="dcterms:W3CDTF">2014-12-07T12:55:00Z</dcterms:created>
  <dcterms:modified xsi:type="dcterms:W3CDTF">2014-12-07T12:55:00Z</dcterms:modified>
</cp:coreProperties>
</file>