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B4" w:rsidRDefault="00E944B4" w:rsidP="00E944B4">
      <w:pPr>
        <w:spacing w:after="0" w:line="240" w:lineRule="auto"/>
        <w:rPr>
          <w:b/>
          <w:bCs/>
          <w:sz w:val="42"/>
          <w:szCs w:val="42"/>
        </w:rPr>
      </w:pPr>
      <w:bookmarkStart w:id="0" w:name="_GoBack"/>
      <w:bookmarkEnd w:id="0"/>
    </w:p>
    <w:p w:rsidR="00E944B4" w:rsidRDefault="00E944B4" w:rsidP="00E944B4">
      <w:pPr>
        <w:spacing w:after="0" w:line="240" w:lineRule="auto"/>
        <w:rPr>
          <w:b/>
          <w:bCs/>
          <w:sz w:val="42"/>
          <w:szCs w:val="42"/>
        </w:rPr>
      </w:pPr>
    </w:p>
    <w:p w:rsidR="00E944B4" w:rsidRDefault="00E944B4" w:rsidP="00E944B4">
      <w:pPr>
        <w:spacing w:after="0" w:line="240" w:lineRule="auto"/>
        <w:rPr>
          <w:b/>
          <w:bCs/>
          <w:sz w:val="42"/>
          <w:szCs w:val="42"/>
        </w:rPr>
      </w:pPr>
    </w:p>
    <w:p w:rsidR="00E944B4" w:rsidRDefault="00E944B4" w:rsidP="00E944B4">
      <w:pPr>
        <w:spacing w:after="0" w:line="240" w:lineRule="auto"/>
        <w:rPr>
          <w:b/>
          <w:bCs/>
          <w:sz w:val="42"/>
          <w:szCs w:val="42"/>
        </w:rPr>
      </w:pPr>
    </w:p>
    <w:p w:rsidR="00E944B4" w:rsidRDefault="00E944B4" w:rsidP="00E944B4">
      <w:pPr>
        <w:spacing w:after="0" w:line="240" w:lineRule="auto"/>
        <w:rPr>
          <w:b/>
          <w:bCs/>
          <w:sz w:val="42"/>
          <w:szCs w:val="42"/>
        </w:rPr>
      </w:pPr>
    </w:p>
    <w:p w:rsidR="00E944B4" w:rsidRDefault="00E944B4" w:rsidP="00E944B4">
      <w:pPr>
        <w:spacing w:after="0" w:line="240" w:lineRule="auto"/>
        <w:rPr>
          <w:b/>
          <w:bCs/>
          <w:sz w:val="42"/>
          <w:szCs w:val="42"/>
        </w:rPr>
      </w:pPr>
    </w:p>
    <w:p w:rsidR="00E944B4" w:rsidRDefault="00E944B4" w:rsidP="00E944B4">
      <w:pPr>
        <w:spacing w:after="0" w:line="240" w:lineRule="auto"/>
        <w:rPr>
          <w:b/>
          <w:bCs/>
          <w:sz w:val="42"/>
          <w:szCs w:val="42"/>
        </w:rPr>
      </w:pPr>
    </w:p>
    <w:p w:rsidR="00E944B4" w:rsidRPr="00E944B4" w:rsidRDefault="00070E29" w:rsidP="00070E29">
      <w:pPr>
        <w:spacing w:after="0" w:line="240" w:lineRule="auto"/>
        <w:jc w:val="center"/>
        <w:rPr>
          <w:b/>
          <w:bCs/>
          <w:sz w:val="42"/>
          <w:szCs w:val="42"/>
        </w:rPr>
      </w:pPr>
      <w:r>
        <w:rPr>
          <w:b/>
          <w:bCs/>
          <w:sz w:val="42"/>
          <w:szCs w:val="42"/>
        </w:rPr>
        <w:t>Fuel E</w:t>
      </w:r>
      <w:r w:rsidR="00E944B4" w:rsidRPr="00E944B4">
        <w:rPr>
          <w:b/>
          <w:bCs/>
          <w:sz w:val="42"/>
          <w:szCs w:val="42"/>
        </w:rPr>
        <w:t>conomy and CO</w:t>
      </w:r>
      <w:r w:rsidR="00E944B4" w:rsidRPr="00E944B4">
        <w:rPr>
          <w:b/>
          <w:bCs/>
          <w:sz w:val="42"/>
          <w:szCs w:val="42"/>
          <w:vertAlign w:val="subscript"/>
        </w:rPr>
        <w:t>2</w:t>
      </w:r>
      <w:r>
        <w:rPr>
          <w:b/>
          <w:bCs/>
          <w:sz w:val="42"/>
          <w:szCs w:val="42"/>
        </w:rPr>
        <w:t xml:space="preserve"> E</w:t>
      </w:r>
      <w:r w:rsidR="00E944B4" w:rsidRPr="00E944B4">
        <w:rPr>
          <w:b/>
          <w:bCs/>
          <w:sz w:val="42"/>
          <w:szCs w:val="42"/>
        </w:rPr>
        <w:t xml:space="preserve">missions of </w:t>
      </w:r>
      <w:r>
        <w:rPr>
          <w:b/>
          <w:bCs/>
          <w:sz w:val="42"/>
          <w:szCs w:val="42"/>
        </w:rPr>
        <w:t>Light-Duty Vehicles</w:t>
      </w:r>
      <w:r w:rsidR="00E944B4" w:rsidRPr="00E944B4">
        <w:rPr>
          <w:b/>
          <w:bCs/>
          <w:sz w:val="42"/>
          <w:szCs w:val="42"/>
        </w:rPr>
        <w:t xml:space="preserve"> in Bahrain</w:t>
      </w:r>
    </w:p>
    <w:p w:rsidR="00E944B4" w:rsidRDefault="00E944B4" w:rsidP="00E944B4">
      <w:pPr>
        <w:spacing w:after="0" w:line="240" w:lineRule="auto"/>
        <w:rPr>
          <w:sz w:val="24"/>
          <w:szCs w:val="24"/>
        </w:rPr>
      </w:pPr>
    </w:p>
    <w:p w:rsidR="00E944B4" w:rsidRDefault="00E944B4" w:rsidP="00E944B4">
      <w:pPr>
        <w:spacing w:after="0" w:line="240" w:lineRule="auto"/>
        <w:rPr>
          <w:sz w:val="24"/>
          <w:szCs w:val="24"/>
        </w:rPr>
      </w:pPr>
    </w:p>
    <w:p w:rsidR="00E944B4" w:rsidRDefault="00E944B4" w:rsidP="00E944B4">
      <w:pPr>
        <w:spacing w:after="0" w:line="240" w:lineRule="auto"/>
        <w:rPr>
          <w:sz w:val="24"/>
          <w:szCs w:val="24"/>
        </w:rPr>
      </w:pPr>
    </w:p>
    <w:p w:rsidR="00E944B4" w:rsidRDefault="00E944B4" w:rsidP="00E944B4">
      <w:pPr>
        <w:spacing w:after="0" w:line="240" w:lineRule="auto"/>
        <w:rPr>
          <w:sz w:val="24"/>
          <w:szCs w:val="24"/>
        </w:rPr>
      </w:pPr>
    </w:p>
    <w:p w:rsidR="00E944B4" w:rsidRDefault="00E944B4" w:rsidP="00E944B4">
      <w:pPr>
        <w:spacing w:after="0" w:line="240" w:lineRule="auto"/>
        <w:rPr>
          <w:sz w:val="24"/>
          <w:szCs w:val="24"/>
        </w:rPr>
      </w:pPr>
    </w:p>
    <w:p w:rsidR="00E944B4" w:rsidRDefault="00E944B4" w:rsidP="00E944B4">
      <w:pPr>
        <w:spacing w:after="0" w:line="240" w:lineRule="auto"/>
        <w:rPr>
          <w:sz w:val="24"/>
          <w:szCs w:val="24"/>
        </w:rPr>
      </w:pPr>
    </w:p>
    <w:p w:rsidR="00E944B4" w:rsidRDefault="00E944B4" w:rsidP="00E944B4">
      <w:pPr>
        <w:spacing w:after="0" w:line="240" w:lineRule="auto"/>
        <w:rPr>
          <w:sz w:val="24"/>
          <w:szCs w:val="24"/>
        </w:rPr>
      </w:pPr>
    </w:p>
    <w:p w:rsidR="00E944B4" w:rsidRDefault="00E944B4" w:rsidP="00E944B4">
      <w:pPr>
        <w:spacing w:after="0" w:line="240" w:lineRule="auto"/>
        <w:jc w:val="center"/>
        <w:rPr>
          <w:b/>
          <w:bCs/>
          <w:sz w:val="30"/>
          <w:szCs w:val="30"/>
        </w:rPr>
      </w:pPr>
    </w:p>
    <w:p w:rsidR="00E944B4" w:rsidRDefault="00E944B4" w:rsidP="00E944B4">
      <w:pPr>
        <w:spacing w:after="0" w:line="240" w:lineRule="auto"/>
        <w:jc w:val="center"/>
        <w:rPr>
          <w:b/>
          <w:bCs/>
          <w:sz w:val="30"/>
          <w:szCs w:val="30"/>
        </w:rPr>
      </w:pPr>
    </w:p>
    <w:p w:rsidR="00E944B4" w:rsidRDefault="00E944B4" w:rsidP="00E944B4">
      <w:pPr>
        <w:spacing w:after="0" w:line="240" w:lineRule="auto"/>
        <w:jc w:val="center"/>
        <w:rPr>
          <w:b/>
          <w:bCs/>
          <w:sz w:val="30"/>
          <w:szCs w:val="30"/>
        </w:rPr>
      </w:pPr>
    </w:p>
    <w:p w:rsidR="00E944B4" w:rsidRDefault="00E944B4" w:rsidP="00E944B4">
      <w:pPr>
        <w:spacing w:after="0" w:line="240" w:lineRule="auto"/>
        <w:jc w:val="center"/>
        <w:rPr>
          <w:b/>
          <w:bCs/>
          <w:sz w:val="30"/>
          <w:szCs w:val="30"/>
        </w:rPr>
      </w:pPr>
    </w:p>
    <w:p w:rsidR="00E944B4" w:rsidRPr="00E944B4" w:rsidRDefault="00E944B4" w:rsidP="00E944B4">
      <w:pPr>
        <w:spacing w:after="0" w:line="240" w:lineRule="auto"/>
        <w:jc w:val="center"/>
        <w:rPr>
          <w:b/>
          <w:bCs/>
          <w:sz w:val="30"/>
          <w:szCs w:val="30"/>
        </w:rPr>
      </w:pPr>
      <w:r w:rsidRPr="00E944B4">
        <w:rPr>
          <w:b/>
          <w:bCs/>
          <w:sz w:val="30"/>
          <w:szCs w:val="30"/>
        </w:rPr>
        <w:t>Prepared by</w:t>
      </w:r>
    </w:p>
    <w:p w:rsidR="00E944B4" w:rsidRDefault="00E944B4" w:rsidP="00E944B4">
      <w:pPr>
        <w:spacing w:after="0" w:line="240" w:lineRule="auto"/>
        <w:jc w:val="center"/>
        <w:rPr>
          <w:sz w:val="24"/>
          <w:szCs w:val="24"/>
        </w:rPr>
      </w:pPr>
      <w:r>
        <w:rPr>
          <w:sz w:val="24"/>
          <w:szCs w:val="24"/>
        </w:rPr>
        <w:t>Maha Mahmood Alsabbagh</w:t>
      </w:r>
    </w:p>
    <w:p w:rsidR="00E944B4" w:rsidRDefault="00DA065A" w:rsidP="00E944B4">
      <w:pPr>
        <w:spacing w:after="0" w:line="240" w:lineRule="auto"/>
        <w:jc w:val="center"/>
        <w:rPr>
          <w:sz w:val="24"/>
          <w:szCs w:val="24"/>
        </w:rPr>
      </w:pPr>
      <w:r>
        <w:rPr>
          <w:sz w:val="24"/>
          <w:szCs w:val="24"/>
        </w:rPr>
        <w:t>Centre for Environment and Development in the Arab Region and Europe (CEDARE)</w:t>
      </w:r>
    </w:p>
    <w:p w:rsidR="00E944B4" w:rsidRDefault="00E944B4" w:rsidP="003D5364">
      <w:pPr>
        <w:spacing w:after="0" w:line="240" w:lineRule="auto"/>
        <w:jc w:val="center"/>
        <w:rPr>
          <w:sz w:val="24"/>
          <w:szCs w:val="24"/>
        </w:rPr>
      </w:pPr>
      <w:r>
        <w:rPr>
          <w:sz w:val="24"/>
          <w:szCs w:val="24"/>
        </w:rPr>
        <w:t xml:space="preserve">Email: </w:t>
      </w:r>
      <w:r w:rsidR="006D2FE8">
        <w:rPr>
          <w:rStyle w:val="Hyperlink"/>
          <w:sz w:val="24"/>
          <w:szCs w:val="24"/>
        </w:rPr>
        <w:t xml:space="preserve"> </w:t>
      </w:r>
      <w:hyperlink r:id="rId9" w:history="1">
        <w:r w:rsidR="003D5364" w:rsidRPr="00C40D2F">
          <w:rPr>
            <w:rStyle w:val="Hyperlink"/>
            <w:sz w:val="24"/>
            <w:szCs w:val="24"/>
          </w:rPr>
          <w:t>scp</w:t>
        </w:r>
        <w:r w:rsidR="007F7168">
          <w:rPr>
            <w:rStyle w:val="Hyperlink"/>
            <w:sz w:val="24"/>
            <w:szCs w:val="24"/>
          </w:rPr>
          <w:t>@cedare.int</w:t>
        </w:r>
      </w:hyperlink>
    </w:p>
    <w:p w:rsidR="00E944B4" w:rsidRPr="00E944B4" w:rsidRDefault="00E944B4" w:rsidP="00E944B4">
      <w:pPr>
        <w:rPr>
          <w:sz w:val="24"/>
          <w:szCs w:val="24"/>
        </w:rPr>
      </w:pPr>
    </w:p>
    <w:p w:rsidR="00E944B4" w:rsidRDefault="00E944B4" w:rsidP="00E944B4">
      <w:pPr>
        <w:rPr>
          <w:sz w:val="24"/>
          <w:szCs w:val="24"/>
        </w:rPr>
      </w:pPr>
    </w:p>
    <w:p w:rsidR="00E944B4" w:rsidRPr="00E944B4" w:rsidRDefault="00E944B4" w:rsidP="00E944B4">
      <w:pPr>
        <w:pageBreakBefore/>
        <w:tabs>
          <w:tab w:val="left" w:pos="3540"/>
        </w:tabs>
        <w:jc w:val="center"/>
        <w:rPr>
          <w:b/>
          <w:bCs/>
          <w:sz w:val="24"/>
          <w:szCs w:val="24"/>
        </w:rPr>
      </w:pPr>
      <w:r w:rsidRPr="00E944B4">
        <w:rPr>
          <w:b/>
          <w:bCs/>
          <w:sz w:val="24"/>
          <w:szCs w:val="24"/>
        </w:rPr>
        <w:lastRenderedPageBreak/>
        <w:t>Table of Contents</w:t>
      </w:r>
    </w:p>
    <w:p w:rsidR="00963DA2" w:rsidRDefault="00EF653E" w:rsidP="00963DA2">
      <w:pPr>
        <w:pStyle w:val="TOC2"/>
        <w:tabs>
          <w:tab w:val="left" w:pos="660"/>
          <w:tab w:val="right" w:leader="dot" w:pos="9350"/>
        </w:tabs>
        <w:spacing w:after="0" w:line="240" w:lineRule="auto"/>
        <w:ind w:left="221"/>
        <w:rPr>
          <w:noProof/>
        </w:rPr>
      </w:pPr>
      <w:r>
        <w:rPr>
          <w:sz w:val="24"/>
          <w:szCs w:val="24"/>
        </w:rPr>
        <w:fldChar w:fldCharType="begin"/>
      </w:r>
      <w:r w:rsidR="00E944B4">
        <w:rPr>
          <w:sz w:val="24"/>
          <w:szCs w:val="24"/>
        </w:rPr>
        <w:instrText xml:space="preserve"> TOC \o "1-5" \h \z \u </w:instrText>
      </w:r>
      <w:r>
        <w:rPr>
          <w:sz w:val="24"/>
          <w:szCs w:val="24"/>
        </w:rPr>
        <w:fldChar w:fldCharType="separate"/>
      </w:r>
      <w:hyperlink w:anchor="_Toc377544395" w:history="1">
        <w:r w:rsidR="00963DA2" w:rsidRPr="001C7138">
          <w:rPr>
            <w:rStyle w:val="Hyperlink"/>
            <w:noProof/>
          </w:rPr>
          <w:t>1.</w:t>
        </w:r>
        <w:r w:rsidR="00963DA2">
          <w:rPr>
            <w:noProof/>
          </w:rPr>
          <w:tab/>
        </w:r>
        <w:r w:rsidR="00963DA2" w:rsidRPr="001C7138">
          <w:rPr>
            <w:rStyle w:val="Hyperlink"/>
            <w:noProof/>
          </w:rPr>
          <w:t>Introduction</w:t>
        </w:r>
        <w:r w:rsidR="00963DA2">
          <w:rPr>
            <w:noProof/>
            <w:webHidden/>
          </w:rPr>
          <w:tab/>
        </w:r>
        <w:r>
          <w:rPr>
            <w:noProof/>
            <w:webHidden/>
          </w:rPr>
          <w:fldChar w:fldCharType="begin"/>
        </w:r>
        <w:r w:rsidR="00963DA2">
          <w:rPr>
            <w:noProof/>
            <w:webHidden/>
          </w:rPr>
          <w:instrText xml:space="preserve"> PAGEREF _Toc377544395 \h </w:instrText>
        </w:r>
        <w:r>
          <w:rPr>
            <w:noProof/>
            <w:webHidden/>
          </w:rPr>
        </w:r>
        <w:r>
          <w:rPr>
            <w:noProof/>
            <w:webHidden/>
          </w:rPr>
          <w:fldChar w:fldCharType="separate"/>
        </w:r>
        <w:r w:rsidR="00963DA2">
          <w:rPr>
            <w:noProof/>
            <w:webHidden/>
          </w:rPr>
          <w:t>4</w:t>
        </w:r>
        <w:r>
          <w:rPr>
            <w:noProof/>
            <w:webHidden/>
          </w:rPr>
          <w:fldChar w:fldCharType="end"/>
        </w:r>
      </w:hyperlink>
    </w:p>
    <w:p w:rsidR="00963DA2" w:rsidRDefault="005B4134" w:rsidP="00963DA2">
      <w:pPr>
        <w:pStyle w:val="TOC2"/>
        <w:tabs>
          <w:tab w:val="left" w:pos="660"/>
          <w:tab w:val="right" w:leader="dot" w:pos="9350"/>
        </w:tabs>
        <w:spacing w:after="0" w:line="240" w:lineRule="auto"/>
        <w:ind w:left="221"/>
        <w:rPr>
          <w:noProof/>
        </w:rPr>
      </w:pPr>
      <w:hyperlink w:anchor="_Toc377544396" w:history="1">
        <w:r w:rsidR="00963DA2" w:rsidRPr="001C7138">
          <w:rPr>
            <w:rStyle w:val="Hyperlink"/>
            <w:noProof/>
          </w:rPr>
          <w:t>2.</w:t>
        </w:r>
        <w:r w:rsidR="00963DA2">
          <w:rPr>
            <w:noProof/>
          </w:rPr>
          <w:tab/>
        </w:r>
        <w:r w:rsidR="00963DA2" w:rsidRPr="001C7138">
          <w:rPr>
            <w:rStyle w:val="Hyperlink"/>
            <w:noProof/>
          </w:rPr>
          <w:t>Transport Sector in Bahrain</w:t>
        </w:r>
        <w:r w:rsidR="00963DA2">
          <w:rPr>
            <w:noProof/>
            <w:webHidden/>
          </w:rPr>
          <w:tab/>
        </w:r>
        <w:r w:rsidR="00EF653E">
          <w:rPr>
            <w:noProof/>
            <w:webHidden/>
          </w:rPr>
          <w:fldChar w:fldCharType="begin"/>
        </w:r>
        <w:r w:rsidR="00963DA2">
          <w:rPr>
            <w:noProof/>
            <w:webHidden/>
          </w:rPr>
          <w:instrText xml:space="preserve"> PAGEREF _Toc377544396 \h </w:instrText>
        </w:r>
        <w:r w:rsidR="00EF653E">
          <w:rPr>
            <w:noProof/>
            <w:webHidden/>
          </w:rPr>
        </w:r>
        <w:r w:rsidR="00EF653E">
          <w:rPr>
            <w:noProof/>
            <w:webHidden/>
          </w:rPr>
          <w:fldChar w:fldCharType="separate"/>
        </w:r>
        <w:r w:rsidR="00963DA2">
          <w:rPr>
            <w:noProof/>
            <w:webHidden/>
          </w:rPr>
          <w:t>5</w:t>
        </w:r>
        <w:r w:rsidR="00EF653E">
          <w:rPr>
            <w:noProof/>
            <w:webHidden/>
          </w:rPr>
          <w:fldChar w:fldCharType="end"/>
        </w:r>
      </w:hyperlink>
    </w:p>
    <w:p w:rsidR="00963DA2" w:rsidRDefault="005B4134" w:rsidP="00963DA2">
      <w:pPr>
        <w:pStyle w:val="TOC2"/>
        <w:tabs>
          <w:tab w:val="left" w:pos="660"/>
          <w:tab w:val="right" w:leader="dot" w:pos="9350"/>
        </w:tabs>
        <w:spacing w:after="0" w:line="240" w:lineRule="auto"/>
        <w:ind w:left="221"/>
        <w:rPr>
          <w:noProof/>
        </w:rPr>
      </w:pPr>
      <w:hyperlink w:anchor="_Toc377544397" w:history="1">
        <w:r w:rsidR="00963DA2" w:rsidRPr="001C7138">
          <w:rPr>
            <w:rStyle w:val="Hyperlink"/>
            <w:noProof/>
          </w:rPr>
          <w:t>3.</w:t>
        </w:r>
        <w:r w:rsidR="00963DA2">
          <w:rPr>
            <w:noProof/>
          </w:rPr>
          <w:tab/>
        </w:r>
        <w:r w:rsidR="00963DA2" w:rsidRPr="001C7138">
          <w:rPr>
            <w:rStyle w:val="Hyperlink"/>
            <w:noProof/>
          </w:rPr>
          <w:t>Methods</w:t>
        </w:r>
        <w:r w:rsidR="00963DA2">
          <w:rPr>
            <w:noProof/>
            <w:webHidden/>
          </w:rPr>
          <w:tab/>
        </w:r>
        <w:r w:rsidR="00EF653E">
          <w:rPr>
            <w:noProof/>
            <w:webHidden/>
          </w:rPr>
          <w:fldChar w:fldCharType="begin"/>
        </w:r>
        <w:r w:rsidR="00963DA2">
          <w:rPr>
            <w:noProof/>
            <w:webHidden/>
          </w:rPr>
          <w:instrText xml:space="preserve"> PAGEREF _Toc377544397 \h </w:instrText>
        </w:r>
        <w:r w:rsidR="00EF653E">
          <w:rPr>
            <w:noProof/>
            <w:webHidden/>
          </w:rPr>
        </w:r>
        <w:r w:rsidR="00EF653E">
          <w:rPr>
            <w:noProof/>
            <w:webHidden/>
          </w:rPr>
          <w:fldChar w:fldCharType="separate"/>
        </w:r>
        <w:r w:rsidR="00963DA2">
          <w:rPr>
            <w:noProof/>
            <w:webHidden/>
          </w:rPr>
          <w:t>7</w:t>
        </w:r>
        <w:r w:rsidR="00EF653E">
          <w:rPr>
            <w:noProof/>
            <w:webHidden/>
          </w:rPr>
          <w:fldChar w:fldCharType="end"/>
        </w:r>
      </w:hyperlink>
    </w:p>
    <w:p w:rsidR="00963DA2" w:rsidRDefault="005B4134" w:rsidP="00963DA2">
      <w:pPr>
        <w:pStyle w:val="TOC2"/>
        <w:tabs>
          <w:tab w:val="left" w:pos="660"/>
          <w:tab w:val="right" w:leader="dot" w:pos="9350"/>
        </w:tabs>
        <w:spacing w:after="0" w:line="240" w:lineRule="auto"/>
        <w:ind w:left="221"/>
        <w:rPr>
          <w:noProof/>
        </w:rPr>
      </w:pPr>
      <w:hyperlink w:anchor="_Toc377544398" w:history="1">
        <w:r w:rsidR="00963DA2" w:rsidRPr="001C7138">
          <w:rPr>
            <w:rStyle w:val="Hyperlink"/>
            <w:noProof/>
          </w:rPr>
          <w:t>4.</w:t>
        </w:r>
        <w:r w:rsidR="00963DA2">
          <w:rPr>
            <w:noProof/>
          </w:rPr>
          <w:tab/>
        </w:r>
        <w:r w:rsidR="00963DA2" w:rsidRPr="001C7138">
          <w:rPr>
            <w:rStyle w:val="Hyperlink"/>
            <w:noProof/>
          </w:rPr>
          <w:t>Results and Discussion</w:t>
        </w:r>
        <w:r w:rsidR="00963DA2">
          <w:rPr>
            <w:noProof/>
            <w:webHidden/>
          </w:rPr>
          <w:tab/>
        </w:r>
        <w:r w:rsidR="00EF653E">
          <w:rPr>
            <w:noProof/>
            <w:webHidden/>
          </w:rPr>
          <w:fldChar w:fldCharType="begin"/>
        </w:r>
        <w:r w:rsidR="00963DA2">
          <w:rPr>
            <w:noProof/>
            <w:webHidden/>
          </w:rPr>
          <w:instrText xml:space="preserve"> PAGEREF _Toc377544398 \h </w:instrText>
        </w:r>
        <w:r w:rsidR="00EF653E">
          <w:rPr>
            <w:noProof/>
            <w:webHidden/>
          </w:rPr>
        </w:r>
        <w:r w:rsidR="00EF653E">
          <w:rPr>
            <w:noProof/>
            <w:webHidden/>
          </w:rPr>
          <w:fldChar w:fldCharType="separate"/>
        </w:r>
        <w:r w:rsidR="00963DA2">
          <w:rPr>
            <w:noProof/>
            <w:webHidden/>
          </w:rPr>
          <w:t>8</w:t>
        </w:r>
        <w:r w:rsidR="00EF653E">
          <w:rPr>
            <w:noProof/>
            <w:webHidden/>
          </w:rPr>
          <w:fldChar w:fldCharType="end"/>
        </w:r>
      </w:hyperlink>
    </w:p>
    <w:p w:rsidR="00963DA2" w:rsidRDefault="005B4134" w:rsidP="00963DA2">
      <w:pPr>
        <w:pStyle w:val="TOC2"/>
        <w:tabs>
          <w:tab w:val="left" w:pos="660"/>
          <w:tab w:val="right" w:leader="dot" w:pos="9350"/>
        </w:tabs>
        <w:spacing w:after="0" w:line="240" w:lineRule="auto"/>
        <w:ind w:left="221"/>
        <w:rPr>
          <w:noProof/>
        </w:rPr>
      </w:pPr>
      <w:hyperlink w:anchor="_Toc377544399" w:history="1">
        <w:r w:rsidR="00963DA2" w:rsidRPr="001C7138">
          <w:rPr>
            <w:rStyle w:val="Hyperlink"/>
            <w:noProof/>
          </w:rPr>
          <w:t>5.</w:t>
        </w:r>
        <w:r w:rsidR="00963DA2">
          <w:rPr>
            <w:noProof/>
          </w:rPr>
          <w:tab/>
        </w:r>
        <w:r w:rsidR="00963DA2" w:rsidRPr="001C7138">
          <w:rPr>
            <w:rStyle w:val="Hyperlink"/>
            <w:noProof/>
          </w:rPr>
          <w:t>Conclusions</w:t>
        </w:r>
        <w:r w:rsidR="00963DA2">
          <w:rPr>
            <w:noProof/>
            <w:webHidden/>
          </w:rPr>
          <w:tab/>
        </w:r>
        <w:r w:rsidR="00EF653E">
          <w:rPr>
            <w:noProof/>
            <w:webHidden/>
          </w:rPr>
          <w:fldChar w:fldCharType="begin"/>
        </w:r>
        <w:r w:rsidR="00963DA2">
          <w:rPr>
            <w:noProof/>
            <w:webHidden/>
          </w:rPr>
          <w:instrText xml:space="preserve"> PAGEREF _Toc377544399 \h </w:instrText>
        </w:r>
        <w:r w:rsidR="00EF653E">
          <w:rPr>
            <w:noProof/>
            <w:webHidden/>
          </w:rPr>
        </w:r>
        <w:r w:rsidR="00EF653E">
          <w:rPr>
            <w:noProof/>
            <w:webHidden/>
          </w:rPr>
          <w:fldChar w:fldCharType="separate"/>
        </w:r>
        <w:r w:rsidR="00963DA2">
          <w:rPr>
            <w:noProof/>
            <w:webHidden/>
          </w:rPr>
          <w:t>12</w:t>
        </w:r>
        <w:r w:rsidR="00EF653E">
          <w:rPr>
            <w:noProof/>
            <w:webHidden/>
          </w:rPr>
          <w:fldChar w:fldCharType="end"/>
        </w:r>
      </w:hyperlink>
    </w:p>
    <w:p w:rsidR="00963DA2" w:rsidRDefault="005B4134" w:rsidP="00963DA2">
      <w:pPr>
        <w:pStyle w:val="TOC2"/>
        <w:tabs>
          <w:tab w:val="right" w:leader="dot" w:pos="9350"/>
        </w:tabs>
        <w:spacing w:after="0" w:line="240" w:lineRule="auto"/>
        <w:ind w:left="221"/>
        <w:rPr>
          <w:noProof/>
        </w:rPr>
      </w:pPr>
      <w:hyperlink w:anchor="_Toc377544400" w:history="1">
        <w:r w:rsidR="00963DA2" w:rsidRPr="001C7138">
          <w:rPr>
            <w:rStyle w:val="Hyperlink"/>
            <w:noProof/>
          </w:rPr>
          <w:t>References</w:t>
        </w:r>
        <w:r w:rsidR="00963DA2">
          <w:rPr>
            <w:noProof/>
            <w:webHidden/>
          </w:rPr>
          <w:tab/>
        </w:r>
        <w:r w:rsidR="00EF653E">
          <w:rPr>
            <w:noProof/>
            <w:webHidden/>
          </w:rPr>
          <w:fldChar w:fldCharType="begin"/>
        </w:r>
        <w:r w:rsidR="00963DA2">
          <w:rPr>
            <w:noProof/>
            <w:webHidden/>
          </w:rPr>
          <w:instrText xml:space="preserve"> PAGEREF _Toc377544400 \h </w:instrText>
        </w:r>
        <w:r w:rsidR="00EF653E">
          <w:rPr>
            <w:noProof/>
            <w:webHidden/>
          </w:rPr>
        </w:r>
        <w:r w:rsidR="00EF653E">
          <w:rPr>
            <w:noProof/>
            <w:webHidden/>
          </w:rPr>
          <w:fldChar w:fldCharType="separate"/>
        </w:r>
        <w:r w:rsidR="00963DA2">
          <w:rPr>
            <w:noProof/>
            <w:webHidden/>
          </w:rPr>
          <w:t>12</w:t>
        </w:r>
        <w:r w:rsidR="00EF653E">
          <w:rPr>
            <w:noProof/>
            <w:webHidden/>
          </w:rPr>
          <w:fldChar w:fldCharType="end"/>
        </w:r>
      </w:hyperlink>
    </w:p>
    <w:p w:rsidR="00963DA2" w:rsidRDefault="005B4134" w:rsidP="00963DA2">
      <w:pPr>
        <w:pStyle w:val="TOC2"/>
        <w:tabs>
          <w:tab w:val="right" w:leader="dot" w:pos="9350"/>
        </w:tabs>
        <w:spacing w:after="0" w:line="240" w:lineRule="auto"/>
        <w:ind w:left="221"/>
        <w:rPr>
          <w:noProof/>
        </w:rPr>
      </w:pPr>
      <w:hyperlink w:anchor="_Toc377544401" w:history="1">
        <w:r w:rsidR="00963DA2" w:rsidRPr="001C7138">
          <w:rPr>
            <w:rStyle w:val="Hyperlink"/>
            <w:noProof/>
          </w:rPr>
          <w:t>Annex 1: Methodology</w:t>
        </w:r>
        <w:r w:rsidR="00963DA2">
          <w:rPr>
            <w:noProof/>
            <w:webHidden/>
          </w:rPr>
          <w:tab/>
        </w:r>
        <w:r w:rsidR="00EF653E">
          <w:rPr>
            <w:noProof/>
            <w:webHidden/>
          </w:rPr>
          <w:fldChar w:fldCharType="begin"/>
        </w:r>
        <w:r w:rsidR="00963DA2">
          <w:rPr>
            <w:noProof/>
            <w:webHidden/>
          </w:rPr>
          <w:instrText xml:space="preserve"> PAGEREF _Toc377544401 \h </w:instrText>
        </w:r>
        <w:r w:rsidR="00EF653E">
          <w:rPr>
            <w:noProof/>
            <w:webHidden/>
          </w:rPr>
        </w:r>
        <w:r w:rsidR="00EF653E">
          <w:rPr>
            <w:noProof/>
            <w:webHidden/>
          </w:rPr>
          <w:fldChar w:fldCharType="separate"/>
        </w:r>
        <w:r w:rsidR="00963DA2">
          <w:rPr>
            <w:noProof/>
            <w:webHidden/>
          </w:rPr>
          <w:t>14</w:t>
        </w:r>
        <w:r w:rsidR="00EF653E">
          <w:rPr>
            <w:noProof/>
            <w:webHidden/>
          </w:rPr>
          <w:fldChar w:fldCharType="end"/>
        </w:r>
      </w:hyperlink>
    </w:p>
    <w:p w:rsidR="00963DA2" w:rsidRDefault="005B4134" w:rsidP="00963DA2">
      <w:pPr>
        <w:pStyle w:val="TOC2"/>
        <w:tabs>
          <w:tab w:val="left" w:pos="660"/>
          <w:tab w:val="right" w:leader="dot" w:pos="9350"/>
        </w:tabs>
        <w:spacing w:after="0" w:line="240" w:lineRule="auto"/>
        <w:ind w:left="221"/>
        <w:rPr>
          <w:noProof/>
        </w:rPr>
      </w:pPr>
      <w:hyperlink w:anchor="_Toc377544402" w:history="1">
        <w:r w:rsidR="00963DA2" w:rsidRPr="001C7138">
          <w:rPr>
            <w:rStyle w:val="Hyperlink"/>
            <w:noProof/>
          </w:rPr>
          <w:t>1.</w:t>
        </w:r>
        <w:r w:rsidR="00963DA2">
          <w:rPr>
            <w:noProof/>
          </w:rPr>
          <w:tab/>
        </w:r>
        <w:r w:rsidR="00963DA2" w:rsidRPr="001C7138">
          <w:rPr>
            <w:rStyle w:val="Hyperlink"/>
            <w:noProof/>
          </w:rPr>
          <w:t>Obtain vehicle registration data:</w:t>
        </w:r>
        <w:r w:rsidR="00963DA2">
          <w:rPr>
            <w:noProof/>
            <w:webHidden/>
          </w:rPr>
          <w:tab/>
        </w:r>
        <w:r w:rsidR="00EF653E">
          <w:rPr>
            <w:noProof/>
            <w:webHidden/>
          </w:rPr>
          <w:fldChar w:fldCharType="begin"/>
        </w:r>
        <w:r w:rsidR="00963DA2">
          <w:rPr>
            <w:noProof/>
            <w:webHidden/>
          </w:rPr>
          <w:instrText xml:space="preserve"> PAGEREF _Toc377544402 \h </w:instrText>
        </w:r>
        <w:r w:rsidR="00EF653E">
          <w:rPr>
            <w:noProof/>
            <w:webHidden/>
          </w:rPr>
        </w:r>
        <w:r w:rsidR="00EF653E">
          <w:rPr>
            <w:noProof/>
            <w:webHidden/>
          </w:rPr>
          <w:fldChar w:fldCharType="separate"/>
        </w:r>
        <w:r w:rsidR="00963DA2">
          <w:rPr>
            <w:noProof/>
            <w:webHidden/>
          </w:rPr>
          <w:t>14</w:t>
        </w:r>
        <w:r w:rsidR="00EF653E">
          <w:rPr>
            <w:noProof/>
            <w:webHidden/>
          </w:rPr>
          <w:fldChar w:fldCharType="end"/>
        </w:r>
      </w:hyperlink>
    </w:p>
    <w:p w:rsidR="00963DA2" w:rsidRDefault="005B4134" w:rsidP="00963DA2">
      <w:pPr>
        <w:pStyle w:val="TOC2"/>
        <w:tabs>
          <w:tab w:val="left" w:pos="660"/>
          <w:tab w:val="right" w:leader="dot" w:pos="9350"/>
        </w:tabs>
        <w:spacing w:after="0" w:line="240" w:lineRule="auto"/>
        <w:ind w:left="221"/>
        <w:rPr>
          <w:noProof/>
        </w:rPr>
      </w:pPr>
      <w:hyperlink w:anchor="_Toc377544403" w:history="1">
        <w:r w:rsidR="00963DA2" w:rsidRPr="001C7138">
          <w:rPr>
            <w:rStyle w:val="Hyperlink"/>
            <w:noProof/>
          </w:rPr>
          <w:t>2.</w:t>
        </w:r>
        <w:r w:rsidR="00963DA2">
          <w:rPr>
            <w:noProof/>
          </w:rPr>
          <w:tab/>
        </w:r>
        <w:r w:rsidR="00963DA2" w:rsidRPr="001C7138">
          <w:rPr>
            <w:rStyle w:val="Hyperlink"/>
            <w:noProof/>
          </w:rPr>
          <w:t>Cleaning data:</w:t>
        </w:r>
        <w:r w:rsidR="00963DA2">
          <w:rPr>
            <w:noProof/>
            <w:webHidden/>
          </w:rPr>
          <w:tab/>
        </w:r>
        <w:r w:rsidR="00EF653E">
          <w:rPr>
            <w:noProof/>
            <w:webHidden/>
          </w:rPr>
          <w:fldChar w:fldCharType="begin"/>
        </w:r>
        <w:r w:rsidR="00963DA2">
          <w:rPr>
            <w:noProof/>
            <w:webHidden/>
          </w:rPr>
          <w:instrText xml:space="preserve"> PAGEREF _Toc377544403 \h </w:instrText>
        </w:r>
        <w:r w:rsidR="00EF653E">
          <w:rPr>
            <w:noProof/>
            <w:webHidden/>
          </w:rPr>
        </w:r>
        <w:r w:rsidR="00EF653E">
          <w:rPr>
            <w:noProof/>
            <w:webHidden/>
          </w:rPr>
          <w:fldChar w:fldCharType="separate"/>
        </w:r>
        <w:r w:rsidR="00963DA2">
          <w:rPr>
            <w:noProof/>
            <w:webHidden/>
          </w:rPr>
          <w:t>14</w:t>
        </w:r>
        <w:r w:rsidR="00EF653E">
          <w:rPr>
            <w:noProof/>
            <w:webHidden/>
          </w:rPr>
          <w:fldChar w:fldCharType="end"/>
        </w:r>
      </w:hyperlink>
    </w:p>
    <w:p w:rsidR="00963DA2" w:rsidRDefault="005B4134" w:rsidP="00963DA2">
      <w:pPr>
        <w:pStyle w:val="TOC2"/>
        <w:tabs>
          <w:tab w:val="left" w:pos="660"/>
          <w:tab w:val="right" w:leader="dot" w:pos="9350"/>
        </w:tabs>
        <w:spacing w:after="0" w:line="240" w:lineRule="auto"/>
        <w:ind w:left="221"/>
        <w:rPr>
          <w:noProof/>
        </w:rPr>
      </w:pPr>
      <w:hyperlink w:anchor="_Toc377544404" w:history="1">
        <w:r w:rsidR="00963DA2" w:rsidRPr="001C7138">
          <w:rPr>
            <w:rStyle w:val="Hyperlink"/>
            <w:noProof/>
          </w:rPr>
          <w:t>3.</w:t>
        </w:r>
        <w:r w:rsidR="00963DA2">
          <w:rPr>
            <w:noProof/>
          </w:rPr>
          <w:tab/>
        </w:r>
        <w:r w:rsidR="00963DA2" w:rsidRPr="001C7138">
          <w:rPr>
            <w:rStyle w:val="Hyperlink"/>
            <w:noProof/>
          </w:rPr>
          <w:t>Structure the data set:</w:t>
        </w:r>
        <w:r w:rsidR="00963DA2">
          <w:rPr>
            <w:noProof/>
            <w:webHidden/>
          </w:rPr>
          <w:tab/>
        </w:r>
        <w:r w:rsidR="00EF653E">
          <w:rPr>
            <w:noProof/>
            <w:webHidden/>
          </w:rPr>
          <w:fldChar w:fldCharType="begin"/>
        </w:r>
        <w:r w:rsidR="00963DA2">
          <w:rPr>
            <w:noProof/>
            <w:webHidden/>
          </w:rPr>
          <w:instrText xml:space="preserve"> PAGEREF _Toc377544404 \h </w:instrText>
        </w:r>
        <w:r w:rsidR="00EF653E">
          <w:rPr>
            <w:noProof/>
            <w:webHidden/>
          </w:rPr>
        </w:r>
        <w:r w:rsidR="00EF653E">
          <w:rPr>
            <w:noProof/>
            <w:webHidden/>
          </w:rPr>
          <w:fldChar w:fldCharType="separate"/>
        </w:r>
        <w:r w:rsidR="00963DA2">
          <w:rPr>
            <w:noProof/>
            <w:webHidden/>
          </w:rPr>
          <w:t>15</w:t>
        </w:r>
        <w:r w:rsidR="00EF653E">
          <w:rPr>
            <w:noProof/>
            <w:webHidden/>
          </w:rPr>
          <w:fldChar w:fldCharType="end"/>
        </w:r>
      </w:hyperlink>
    </w:p>
    <w:p w:rsidR="00963DA2" w:rsidRDefault="005B4134" w:rsidP="00963DA2">
      <w:pPr>
        <w:pStyle w:val="TOC2"/>
        <w:tabs>
          <w:tab w:val="left" w:pos="660"/>
          <w:tab w:val="right" w:leader="dot" w:pos="9350"/>
        </w:tabs>
        <w:spacing w:after="0" w:line="240" w:lineRule="auto"/>
        <w:ind w:left="221"/>
        <w:rPr>
          <w:noProof/>
        </w:rPr>
      </w:pPr>
      <w:hyperlink w:anchor="_Toc377544405" w:history="1">
        <w:r w:rsidR="00963DA2" w:rsidRPr="001C7138">
          <w:rPr>
            <w:rStyle w:val="Hyperlink"/>
            <w:noProof/>
          </w:rPr>
          <w:t>4.</w:t>
        </w:r>
        <w:r w:rsidR="00963DA2">
          <w:rPr>
            <w:noProof/>
          </w:rPr>
          <w:tab/>
        </w:r>
        <w:r w:rsidR="00963DA2" w:rsidRPr="001C7138">
          <w:rPr>
            <w:rStyle w:val="Hyperlink"/>
            <w:noProof/>
          </w:rPr>
          <w:t>Estimate baseline fuel economy and CO</w:t>
        </w:r>
        <w:r w:rsidR="00963DA2" w:rsidRPr="001C7138">
          <w:rPr>
            <w:rStyle w:val="Hyperlink"/>
            <w:noProof/>
            <w:vertAlign w:val="subscript"/>
          </w:rPr>
          <w:t>2</w:t>
        </w:r>
        <w:r w:rsidR="00963DA2" w:rsidRPr="001C7138">
          <w:rPr>
            <w:rStyle w:val="Hyperlink"/>
            <w:noProof/>
          </w:rPr>
          <w:t xml:space="preserve"> emissions</w:t>
        </w:r>
        <w:r w:rsidR="00963DA2">
          <w:rPr>
            <w:noProof/>
            <w:webHidden/>
          </w:rPr>
          <w:tab/>
        </w:r>
        <w:r w:rsidR="00EF653E">
          <w:rPr>
            <w:noProof/>
            <w:webHidden/>
          </w:rPr>
          <w:fldChar w:fldCharType="begin"/>
        </w:r>
        <w:r w:rsidR="00963DA2">
          <w:rPr>
            <w:noProof/>
            <w:webHidden/>
          </w:rPr>
          <w:instrText xml:space="preserve"> PAGEREF _Toc377544405 \h </w:instrText>
        </w:r>
        <w:r w:rsidR="00EF653E">
          <w:rPr>
            <w:noProof/>
            <w:webHidden/>
          </w:rPr>
        </w:r>
        <w:r w:rsidR="00EF653E">
          <w:rPr>
            <w:noProof/>
            <w:webHidden/>
          </w:rPr>
          <w:fldChar w:fldCharType="separate"/>
        </w:r>
        <w:r w:rsidR="00963DA2">
          <w:rPr>
            <w:noProof/>
            <w:webHidden/>
          </w:rPr>
          <w:t>16</w:t>
        </w:r>
        <w:r w:rsidR="00EF653E">
          <w:rPr>
            <w:noProof/>
            <w:webHidden/>
          </w:rPr>
          <w:fldChar w:fldCharType="end"/>
        </w:r>
      </w:hyperlink>
    </w:p>
    <w:p w:rsidR="00963DA2" w:rsidRDefault="005B4134" w:rsidP="00963DA2">
      <w:pPr>
        <w:pStyle w:val="TOC2"/>
        <w:tabs>
          <w:tab w:val="right" w:leader="dot" w:pos="9350"/>
        </w:tabs>
        <w:spacing w:after="0" w:line="240" w:lineRule="auto"/>
        <w:ind w:left="221"/>
        <w:rPr>
          <w:noProof/>
        </w:rPr>
      </w:pPr>
      <w:hyperlink w:anchor="_Toc377544406" w:history="1">
        <w:r w:rsidR="00963DA2" w:rsidRPr="001C7138">
          <w:rPr>
            <w:rStyle w:val="Hyperlink"/>
            <w:noProof/>
          </w:rPr>
          <w:t>Annex 2: Sample of the data</w:t>
        </w:r>
        <w:r w:rsidR="00963DA2">
          <w:rPr>
            <w:noProof/>
            <w:webHidden/>
          </w:rPr>
          <w:tab/>
        </w:r>
        <w:r w:rsidR="00EF653E">
          <w:rPr>
            <w:noProof/>
            <w:webHidden/>
          </w:rPr>
          <w:fldChar w:fldCharType="begin"/>
        </w:r>
        <w:r w:rsidR="00963DA2">
          <w:rPr>
            <w:noProof/>
            <w:webHidden/>
          </w:rPr>
          <w:instrText xml:space="preserve"> PAGEREF _Toc377544406 \h </w:instrText>
        </w:r>
        <w:r w:rsidR="00EF653E">
          <w:rPr>
            <w:noProof/>
            <w:webHidden/>
          </w:rPr>
        </w:r>
        <w:r w:rsidR="00EF653E">
          <w:rPr>
            <w:noProof/>
            <w:webHidden/>
          </w:rPr>
          <w:fldChar w:fldCharType="separate"/>
        </w:r>
        <w:r w:rsidR="00963DA2">
          <w:rPr>
            <w:noProof/>
            <w:webHidden/>
          </w:rPr>
          <w:t>18</w:t>
        </w:r>
        <w:r w:rsidR="00EF653E">
          <w:rPr>
            <w:noProof/>
            <w:webHidden/>
          </w:rPr>
          <w:fldChar w:fldCharType="end"/>
        </w:r>
      </w:hyperlink>
    </w:p>
    <w:p w:rsidR="00963DA2" w:rsidRDefault="005B4134" w:rsidP="00963DA2">
      <w:pPr>
        <w:pStyle w:val="TOC2"/>
        <w:tabs>
          <w:tab w:val="right" w:leader="dot" w:pos="9350"/>
        </w:tabs>
        <w:spacing w:after="0" w:line="240" w:lineRule="auto"/>
        <w:ind w:left="221"/>
        <w:rPr>
          <w:noProof/>
        </w:rPr>
      </w:pPr>
      <w:hyperlink w:anchor="_Toc377544407" w:history="1">
        <w:r w:rsidR="00963DA2" w:rsidRPr="001C7138">
          <w:rPr>
            <w:rStyle w:val="Hyperlink"/>
            <w:noProof/>
          </w:rPr>
          <w:t>Annex 3: Tables</w:t>
        </w:r>
        <w:r w:rsidR="00963DA2">
          <w:rPr>
            <w:noProof/>
            <w:webHidden/>
          </w:rPr>
          <w:tab/>
        </w:r>
        <w:r w:rsidR="00EF653E">
          <w:rPr>
            <w:noProof/>
            <w:webHidden/>
          </w:rPr>
          <w:fldChar w:fldCharType="begin"/>
        </w:r>
        <w:r w:rsidR="00963DA2">
          <w:rPr>
            <w:noProof/>
            <w:webHidden/>
          </w:rPr>
          <w:instrText xml:space="preserve"> PAGEREF _Toc377544407 \h </w:instrText>
        </w:r>
        <w:r w:rsidR="00EF653E">
          <w:rPr>
            <w:noProof/>
            <w:webHidden/>
          </w:rPr>
        </w:r>
        <w:r w:rsidR="00EF653E">
          <w:rPr>
            <w:noProof/>
            <w:webHidden/>
          </w:rPr>
          <w:fldChar w:fldCharType="separate"/>
        </w:r>
        <w:r w:rsidR="00963DA2">
          <w:rPr>
            <w:noProof/>
            <w:webHidden/>
          </w:rPr>
          <w:t>19</w:t>
        </w:r>
        <w:r w:rsidR="00EF653E">
          <w:rPr>
            <w:noProof/>
            <w:webHidden/>
          </w:rPr>
          <w:fldChar w:fldCharType="end"/>
        </w:r>
      </w:hyperlink>
    </w:p>
    <w:p w:rsidR="00E944B4" w:rsidRDefault="00EF653E" w:rsidP="00E944B4">
      <w:pPr>
        <w:tabs>
          <w:tab w:val="left" w:pos="3540"/>
        </w:tabs>
        <w:spacing w:after="0" w:line="240" w:lineRule="auto"/>
        <w:rPr>
          <w:sz w:val="24"/>
          <w:szCs w:val="24"/>
        </w:rPr>
      </w:pPr>
      <w:r>
        <w:rPr>
          <w:sz w:val="24"/>
          <w:szCs w:val="24"/>
        </w:rPr>
        <w:fldChar w:fldCharType="end"/>
      </w:r>
    </w:p>
    <w:p w:rsidR="00EE0879" w:rsidRDefault="00EE0879" w:rsidP="00E944B4">
      <w:pPr>
        <w:tabs>
          <w:tab w:val="left" w:pos="3540"/>
        </w:tabs>
        <w:spacing w:after="0" w:line="240" w:lineRule="auto"/>
        <w:rPr>
          <w:sz w:val="24"/>
          <w:szCs w:val="24"/>
        </w:rPr>
      </w:pPr>
    </w:p>
    <w:p w:rsidR="00DC6600" w:rsidRDefault="00DC6600" w:rsidP="00E944B4">
      <w:pPr>
        <w:tabs>
          <w:tab w:val="left" w:pos="3540"/>
        </w:tabs>
        <w:spacing w:after="0" w:line="240" w:lineRule="auto"/>
        <w:rPr>
          <w:sz w:val="24"/>
          <w:szCs w:val="24"/>
        </w:rPr>
      </w:pPr>
    </w:p>
    <w:p w:rsidR="00DC6600" w:rsidRDefault="00DC6600" w:rsidP="00E944B4">
      <w:pPr>
        <w:tabs>
          <w:tab w:val="left" w:pos="3540"/>
        </w:tabs>
        <w:spacing w:after="0" w:line="240" w:lineRule="auto"/>
        <w:rPr>
          <w:sz w:val="24"/>
          <w:szCs w:val="24"/>
        </w:rPr>
      </w:pPr>
    </w:p>
    <w:p w:rsidR="00EE0879" w:rsidRDefault="00EE0879" w:rsidP="00E944B4">
      <w:pPr>
        <w:tabs>
          <w:tab w:val="left" w:pos="3540"/>
        </w:tabs>
        <w:spacing w:after="0" w:line="240" w:lineRule="auto"/>
        <w:rPr>
          <w:sz w:val="24"/>
          <w:szCs w:val="24"/>
        </w:rPr>
      </w:pPr>
    </w:p>
    <w:p w:rsidR="00E944B4" w:rsidRPr="00E944B4" w:rsidRDefault="00E944B4" w:rsidP="00E944B4">
      <w:pPr>
        <w:tabs>
          <w:tab w:val="left" w:pos="3540"/>
        </w:tabs>
        <w:jc w:val="center"/>
        <w:rPr>
          <w:b/>
          <w:bCs/>
          <w:sz w:val="24"/>
          <w:szCs w:val="24"/>
        </w:rPr>
      </w:pPr>
      <w:r w:rsidRPr="00E944B4">
        <w:rPr>
          <w:b/>
          <w:bCs/>
          <w:sz w:val="24"/>
          <w:szCs w:val="24"/>
        </w:rPr>
        <w:t>List of Tables</w:t>
      </w:r>
    </w:p>
    <w:p w:rsidR="00963DA2" w:rsidRDefault="00EF653E">
      <w:pPr>
        <w:pStyle w:val="TableofFigures"/>
        <w:tabs>
          <w:tab w:val="right" w:leader="dot" w:pos="9350"/>
        </w:tabs>
        <w:rPr>
          <w:noProof/>
        </w:rPr>
      </w:pPr>
      <w:r>
        <w:rPr>
          <w:sz w:val="24"/>
          <w:szCs w:val="24"/>
        </w:rPr>
        <w:fldChar w:fldCharType="begin"/>
      </w:r>
      <w:r w:rsidR="00E944B4">
        <w:rPr>
          <w:sz w:val="24"/>
          <w:szCs w:val="24"/>
        </w:rPr>
        <w:instrText xml:space="preserve"> TOC \h \z \c "Table" </w:instrText>
      </w:r>
      <w:r>
        <w:rPr>
          <w:sz w:val="24"/>
          <w:szCs w:val="24"/>
        </w:rPr>
        <w:fldChar w:fldCharType="separate"/>
      </w:r>
      <w:hyperlink w:anchor="_Toc377544426" w:history="1">
        <w:r w:rsidR="00963DA2" w:rsidRPr="00BB45E4">
          <w:rPr>
            <w:rStyle w:val="Hyperlink"/>
            <w:noProof/>
          </w:rPr>
          <w:t>Table 1</w:t>
        </w:r>
        <w:r w:rsidR="00963DA2" w:rsidRPr="00BB45E4">
          <w:rPr>
            <w:rStyle w:val="Hyperlink"/>
            <w:noProof/>
            <w:lang w:val="en-GB"/>
          </w:rPr>
          <w:t>: Types of LDVs</w:t>
        </w:r>
        <w:r w:rsidR="00963DA2">
          <w:rPr>
            <w:noProof/>
            <w:webHidden/>
          </w:rPr>
          <w:tab/>
        </w:r>
        <w:r>
          <w:rPr>
            <w:noProof/>
            <w:webHidden/>
          </w:rPr>
          <w:fldChar w:fldCharType="begin"/>
        </w:r>
        <w:r w:rsidR="00963DA2">
          <w:rPr>
            <w:noProof/>
            <w:webHidden/>
          </w:rPr>
          <w:instrText xml:space="preserve"> PAGEREF _Toc377544426 \h </w:instrText>
        </w:r>
        <w:r>
          <w:rPr>
            <w:noProof/>
            <w:webHidden/>
          </w:rPr>
        </w:r>
        <w:r>
          <w:rPr>
            <w:noProof/>
            <w:webHidden/>
          </w:rPr>
          <w:fldChar w:fldCharType="separate"/>
        </w:r>
        <w:r w:rsidR="00963DA2">
          <w:rPr>
            <w:noProof/>
            <w:webHidden/>
          </w:rPr>
          <w:t>14</w:t>
        </w:r>
        <w:r>
          <w:rPr>
            <w:noProof/>
            <w:webHidden/>
          </w:rPr>
          <w:fldChar w:fldCharType="end"/>
        </w:r>
      </w:hyperlink>
    </w:p>
    <w:p w:rsidR="00963DA2" w:rsidRDefault="005B4134">
      <w:pPr>
        <w:pStyle w:val="TableofFigures"/>
        <w:tabs>
          <w:tab w:val="right" w:leader="dot" w:pos="9350"/>
        </w:tabs>
        <w:rPr>
          <w:noProof/>
        </w:rPr>
      </w:pPr>
      <w:hyperlink w:anchor="_Toc377544427" w:history="1">
        <w:r w:rsidR="00963DA2" w:rsidRPr="00BB45E4">
          <w:rPr>
            <w:rStyle w:val="Hyperlink"/>
            <w:noProof/>
          </w:rPr>
          <w:t>Table 2</w:t>
        </w:r>
        <w:r w:rsidR="00963DA2" w:rsidRPr="00BB45E4">
          <w:rPr>
            <w:rStyle w:val="Hyperlink"/>
            <w:noProof/>
            <w:lang w:val="en-GB"/>
          </w:rPr>
          <w:t>: Data sources and contacts</w:t>
        </w:r>
        <w:r w:rsidR="00963DA2">
          <w:rPr>
            <w:noProof/>
            <w:webHidden/>
          </w:rPr>
          <w:tab/>
        </w:r>
        <w:r w:rsidR="00EF653E">
          <w:rPr>
            <w:noProof/>
            <w:webHidden/>
          </w:rPr>
          <w:fldChar w:fldCharType="begin"/>
        </w:r>
        <w:r w:rsidR="00963DA2">
          <w:rPr>
            <w:noProof/>
            <w:webHidden/>
          </w:rPr>
          <w:instrText xml:space="preserve"> PAGEREF _Toc377544427 \h </w:instrText>
        </w:r>
        <w:r w:rsidR="00EF653E">
          <w:rPr>
            <w:noProof/>
            <w:webHidden/>
          </w:rPr>
        </w:r>
        <w:r w:rsidR="00EF653E">
          <w:rPr>
            <w:noProof/>
            <w:webHidden/>
          </w:rPr>
          <w:fldChar w:fldCharType="separate"/>
        </w:r>
        <w:r w:rsidR="00963DA2">
          <w:rPr>
            <w:noProof/>
            <w:webHidden/>
          </w:rPr>
          <w:t>15</w:t>
        </w:r>
        <w:r w:rsidR="00EF653E">
          <w:rPr>
            <w:noProof/>
            <w:webHidden/>
          </w:rPr>
          <w:fldChar w:fldCharType="end"/>
        </w:r>
      </w:hyperlink>
    </w:p>
    <w:p w:rsidR="00963DA2" w:rsidRDefault="005B4134">
      <w:pPr>
        <w:pStyle w:val="TableofFigures"/>
        <w:tabs>
          <w:tab w:val="right" w:leader="dot" w:pos="9350"/>
        </w:tabs>
        <w:rPr>
          <w:noProof/>
        </w:rPr>
      </w:pPr>
      <w:hyperlink w:anchor="_Toc377544428" w:history="1">
        <w:r w:rsidR="00963DA2" w:rsidRPr="00BB45E4">
          <w:rPr>
            <w:rStyle w:val="Hyperlink"/>
            <w:noProof/>
          </w:rPr>
          <w:t>Table 3</w:t>
        </w:r>
        <w:r w:rsidR="00963DA2" w:rsidRPr="00BB45E4">
          <w:rPr>
            <w:rStyle w:val="Hyperlink"/>
            <w:noProof/>
            <w:lang w:val="en-GB"/>
          </w:rPr>
          <w:t>: Total number of LDVs used for the calculations</w:t>
        </w:r>
        <w:r w:rsidR="00963DA2">
          <w:rPr>
            <w:noProof/>
            <w:webHidden/>
          </w:rPr>
          <w:tab/>
        </w:r>
        <w:r w:rsidR="00EF653E">
          <w:rPr>
            <w:noProof/>
            <w:webHidden/>
          </w:rPr>
          <w:fldChar w:fldCharType="begin"/>
        </w:r>
        <w:r w:rsidR="00963DA2">
          <w:rPr>
            <w:noProof/>
            <w:webHidden/>
          </w:rPr>
          <w:instrText xml:space="preserve"> PAGEREF _Toc377544428 \h </w:instrText>
        </w:r>
        <w:r w:rsidR="00EF653E">
          <w:rPr>
            <w:noProof/>
            <w:webHidden/>
          </w:rPr>
        </w:r>
        <w:r w:rsidR="00EF653E">
          <w:rPr>
            <w:noProof/>
            <w:webHidden/>
          </w:rPr>
          <w:fldChar w:fldCharType="separate"/>
        </w:r>
        <w:r w:rsidR="00963DA2">
          <w:rPr>
            <w:noProof/>
            <w:webHidden/>
          </w:rPr>
          <w:t>16</w:t>
        </w:r>
        <w:r w:rsidR="00EF653E">
          <w:rPr>
            <w:noProof/>
            <w:webHidden/>
          </w:rPr>
          <w:fldChar w:fldCharType="end"/>
        </w:r>
      </w:hyperlink>
    </w:p>
    <w:p w:rsidR="00963DA2" w:rsidRDefault="005B4134">
      <w:pPr>
        <w:pStyle w:val="TableofFigures"/>
        <w:tabs>
          <w:tab w:val="right" w:leader="dot" w:pos="9350"/>
        </w:tabs>
        <w:rPr>
          <w:noProof/>
        </w:rPr>
      </w:pPr>
      <w:hyperlink w:anchor="_Toc377544429" w:history="1">
        <w:r w:rsidR="00963DA2" w:rsidRPr="00963DA2">
          <w:rPr>
            <w:rStyle w:val="Hyperlink"/>
            <w:noProof/>
          </w:rPr>
          <w:t>Table 4</w:t>
        </w:r>
        <w:r w:rsidR="00963DA2" w:rsidRPr="00963DA2">
          <w:rPr>
            <w:rStyle w:val="Hyperlink"/>
            <w:noProof/>
            <w:lang w:val="en-GB"/>
          </w:rPr>
          <w:t>:</w:t>
        </w:r>
        <w:r w:rsidR="00963DA2" w:rsidRPr="00963DA2">
          <w:rPr>
            <w:rStyle w:val="Hyperlink"/>
            <w:rFonts w:cs="Times New Roman"/>
            <w:noProof/>
          </w:rPr>
          <w:t xml:space="preserve"> Passenger vehicle number vs. population size and real GDP in Bahrain between 2000 and 2010.</w:t>
        </w:r>
        <w:r w:rsidR="00963DA2">
          <w:rPr>
            <w:noProof/>
            <w:webHidden/>
          </w:rPr>
          <w:tab/>
        </w:r>
        <w:r w:rsidR="00EF653E">
          <w:rPr>
            <w:noProof/>
            <w:webHidden/>
          </w:rPr>
          <w:fldChar w:fldCharType="begin"/>
        </w:r>
        <w:r w:rsidR="00963DA2">
          <w:rPr>
            <w:noProof/>
            <w:webHidden/>
          </w:rPr>
          <w:instrText xml:space="preserve"> PAGEREF _Toc377544429 \h </w:instrText>
        </w:r>
        <w:r w:rsidR="00EF653E">
          <w:rPr>
            <w:noProof/>
            <w:webHidden/>
          </w:rPr>
        </w:r>
        <w:r w:rsidR="00EF653E">
          <w:rPr>
            <w:noProof/>
            <w:webHidden/>
          </w:rPr>
          <w:fldChar w:fldCharType="separate"/>
        </w:r>
        <w:r w:rsidR="00963DA2">
          <w:rPr>
            <w:noProof/>
            <w:webHidden/>
          </w:rPr>
          <w:t>19</w:t>
        </w:r>
        <w:r w:rsidR="00EF653E">
          <w:rPr>
            <w:noProof/>
            <w:webHidden/>
          </w:rPr>
          <w:fldChar w:fldCharType="end"/>
        </w:r>
      </w:hyperlink>
    </w:p>
    <w:p w:rsidR="00963DA2" w:rsidRDefault="005B4134">
      <w:pPr>
        <w:pStyle w:val="TableofFigures"/>
        <w:tabs>
          <w:tab w:val="right" w:leader="dot" w:pos="9350"/>
        </w:tabs>
        <w:rPr>
          <w:noProof/>
        </w:rPr>
      </w:pPr>
      <w:hyperlink w:anchor="_Toc377544430" w:history="1">
        <w:r w:rsidR="00963DA2" w:rsidRPr="00BB45E4">
          <w:rPr>
            <w:rStyle w:val="Hyperlink"/>
            <w:noProof/>
          </w:rPr>
          <w:t>Table 5</w:t>
        </w:r>
        <w:r w:rsidR="00963DA2" w:rsidRPr="00BB45E4">
          <w:rPr>
            <w:rStyle w:val="Hyperlink"/>
            <w:noProof/>
            <w:lang w:val="en-GB"/>
          </w:rPr>
          <w:t>: Gasoline consumption in Bahrain between 2000 and 2010 (TJ)</w:t>
        </w:r>
        <w:r w:rsidR="00963DA2">
          <w:rPr>
            <w:noProof/>
            <w:webHidden/>
          </w:rPr>
          <w:tab/>
        </w:r>
        <w:r w:rsidR="00EF653E">
          <w:rPr>
            <w:noProof/>
            <w:webHidden/>
          </w:rPr>
          <w:fldChar w:fldCharType="begin"/>
        </w:r>
        <w:r w:rsidR="00963DA2">
          <w:rPr>
            <w:noProof/>
            <w:webHidden/>
          </w:rPr>
          <w:instrText xml:space="preserve"> PAGEREF _Toc377544430 \h </w:instrText>
        </w:r>
        <w:r w:rsidR="00EF653E">
          <w:rPr>
            <w:noProof/>
            <w:webHidden/>
          </w:rPr>
        </w:r>
        <w:r w:rsidR="00EF653E">
          <w:rPr>
            <w:noProof/>
            <w:webHidden/>
          </w:rPr>
          <w:fldChar w:fldCharType="separate"/>
        </w:r>
        <w:r w:rsidR="00963DA2">
          <w:rPr>
            <w:noProof/>
            <w:webHidden/>
          </w:rPr>
          <w:t>19</w:t>
        </w:r>
        <w:r w:rsidR="00EF653E">
          <w:rPr>
            <w:noProof/>
            <w:webHidden/>
          </w:rPr>
          <w:fldChar w:fldCharType="end"/>
        </w:r>
      </w:hyperlink>
    </w:p>
    <w:p w:rsidR="00963DA2" w:rsidRDefault="005B4134">
      <w:pPr>
        <w:pStyle w:val="TableofFigures"/>
        <w:tabs>
          <w:tab w:val="right" w:leader="dot" w:pos="9350"/>
        </w:tabs>
        <w:rPr>
          <w:noProof/>
        </w:rPr>
      </w:pPr>
      <w:hyperlink w:anchor="_Toc377544431" w:history="1">
        <w:r w:rsidR="00963DA2" w:rsidRPr="00BB45E4">
          <w:rPr>
            <w:rStyle w:val="Hyperlink"/>
            <w:noProof/>
          </w:rPr>
          <w:t>Table 6</w:t>
        </w:r>
        <w:r w:rsidR="00963DA2" w:rsidRPr="00BB45E4">
          <w:rPr>
            <w:rStyle w:val="Hyperlink"/>
            <w:noProof/>
            <w:lang w:val="en-GB"/>
          </w:rPr>
          <w:t>: Total number of registered vehicles in Bahrain between 2000 and 2012</w:t>
        </w:r>
        <w:r w:rsidR="00963DA2">
          <w:rPr>
            <w:noProof/>
            <w:webHidden/>
          </w:rPr>
          <w:tab/>
        </w:r>
        <w:r w:rsidR="00EF653E">
          <w:rPr>
            <w:noProof/>
            <w:webHidden/>
          </w:rPr>
          <w:fldChar w:fldCharType="begin"/>
        </w:r>
        <w:r w:rsidR="00963DA2">
          <w:rPr>
            <w:noProof/>
            <w:webHidden/>
          </w:rPr>
          <w:instrText xml:space="preserve"> PAGEREF _Toc377544431 \h </w:instrText>
        </w:r>
        <w:r w:rsidR="00EF653E">
          <w:rPr>
            <w:noProof/>
            <w:webHidden/>
          </w:rPr>
        </w:r>
        <w:r w:rsidR="00EF653E">
          <w:rPr>
            <w:noProof/>
            <w:webHidden/>
          </w:rPr>
          <w:fldChar w:fldCharType="separate"/>
        </w:r>
        <w:r w:rsidR="00963DA2">
          <w:rPr>
            <w:noProof/>
            <w:webHidden/>
          </w:rPr>
          <w:t>19</w:t>
        </w:r>
        <w:r w:rsidR="00EF653E">
          <w:rPr>
            <w:noProof/>
            <w:webHidden/>
          </w:rPr>
          <w:fldChar w:fldCharType="end"/>
        </w:r>
      </w:hyperlink>
    </w:p>
    <w:p w:rsidR="00963DA2" w:rsidRDefault="005B4134">
      <w:pPr>
        <w:pStyle w:val="TableofFigures"/>
        <w:tabs>
          <w:tab w:val="right" w:leader="dot" w:pos="9350"/>
        </w:tabs>
        <w:rPr>
          <w:noProof/>
        </w:rPr>
      </w:pPr>
      <w:hyperlink w:anchor="_Toc377544432" w:history="1">
        <w:r w:rsidR="00963DA2" w:rsidRPr="00BB45E4">
          <w:rPr>
            <w:rStyle w:val="Hyperlink"/>
            <w:noProof/>
          </w:rPr>
          <w:t>Table 7</w:t>
        </w:r>
        <w:r w:rsidR="00963DA2" w:rsidRPr="00BB45E4">
          <w:rPr>
            <w:rStyle w:val="Hyperlink"/>
            <w:noProof/>
            <w:lang w:val="en-GB"/>
          </w:rPr>
          <w:t>: Carbon emissions from transport sector in Bahrain between 2000 and 2010</w:t>
        </w:r>
        <w:r w:rsidR="00963DA2">
          <w:rPr>
            <w:noProof/>
            <w:webHidden/>
          </w:rPr>
          <w:tab/>
        </w:r>
        <w:r w:rsidR="00EF653E">
          <w:rPr>
            <w:noProof/>
            <w:webHidden/>
          </w:rPr>
          <w:fldChar w:fldCharType="begin"/>
        </w:r>
        <w:r w:rsidR="00963DA2">
          <w:rPr>
            <w:noProof/>
            <w:webHidden/>
          </w:rPr>
          <w:instrText xml:space="preserve"> PAGEREF _Toc377544432 \h </w:instrText>
        </w:r>
        <w:r w:rsidR="00EF653E">
          <w:rPr>
            <w:noProof/>
            <w:webHidden/>
          </w:rPr>
        </w:r>
        <w:r w:rsidR="00EF653E">
          <w:rPr>
            <w:noProof/>
            <w:webHidden/>
          </w:rPr>
          <w:fldChar w:fldCharType="separate"/>
        </w:r>
        <w:r w:rsidR="00963DA2">
          <w:rPr>
            <w:noProof/>
            <w:webHidden/>
          </w:rPr>
          <w:t>20</w:t>
        </w:r>
        <w:r w:rsidR="00EF653E">
          <w:rPr>
            <w:noProof/>
            <w:webHidden/>
          </w:rPr>
          <w:fldChar w:fldCharType="end"/>
        </w:r>
      </w:hyperlink>
    </w:p>
    <w:p w:rsidR="00963DA2" w:rsidRDefault="005B4134">
      <w:pPr>
        <w:pStyle w:val="TableofFigures"/>
        <w:tabs>
          <w:tab w:val="right" w:leader="dot" w:pos="9350"/>
        </w:tabs>
        <w:rPr>
          <w:noProof/>
        </w:rPr>
      </w:pPr>
      <w:hyperlink w:anchor="_Toc377544433" w:history="1">
        <w:r w:rsidR="00963DA2" w:rsidRPr="00BB45E4">
          <w:rPr>
            <w:rStyle w:val="Hyperlink"/>
            <w:noProof/>
          </w:rPr>
          <w:t>Table 8</w:t>
        </w:r>
        <w:r w:rsidR="00963DA2" w:rsidRPr="00BB45E4">
          <w:rPr>
            <w:rStyle w:val="Hyperlink"/>
            <w:noProof/>
            <w:lang w:val="en-GB"/>
          </w:rPr>
          <w:t>: Average fuel economy (L/100km) and CO</w:t>
        </w:r>
        <w:r w:rsidR="00963DA2" w:rsidRPr="00BB45E4">
          <w:rPr>
            <w:rStyle w:val="Hyperlink"/>
            <w:noProof/>
            <w:vertAlign w:val="subscript"/>
            <w:lang w:val="en-GB"/>
          </w:rPr>
          <w:t>2</w:t>
        </w:r>
        <w:r w:rsidR="00963DA2" w:rsidRPr="00BB45E4">
          <w:rPr>
            <w:rStyle w:val="Hyperlink"/>
            <w:noProof/>
            <w:lang w:val="en-GB"/>
          </w:rPr>
          <w:t xml:space="preserve"> emissions (g/km) for new LDVs in Bahrain</w:t>
        </w:r>
        <w:r w:rsidR="00963DA2">
          <w:rPr>
            <w:noProof/>
            <w:webHidden/>
          </w:rPr>
          <w:tab/>
        </w:r>
        <w:r w:rsidR="00EF653E">
          <w:rPr>
            <w:noProof/>
            <w:webHidden/>
          </w:rPr>
          <w:fldChar w:fldCharType="begin"/>
        </w:r>
        <w:r w:rsidR="00963DA2">
          <w:rPr>
            <w:noProof/>
            <w:webHidden/>
          </w:rPr>
          <w:instrText xml:space="preserve"> PAGEREF _Toc377544433 \h </w:instrText>
        </w:r>
        <w:r w:rsidR="00EF653E">
          <w:rPr>
            <w:noProof/>
            <w:webHidden/>
          </w:rPr>
        </w:r>
        <w:r w:rsidR="00EF653E">
          <w:rPr>
            <w:noProof/>
            <w:webHidden/>
          </w:rPr>
          <w:fldChar w:fldCharType="separate"/>
        </w:r>
        <w:r w:rsidR="00963DA2">
          <w:rPr>
            <w:noProof/>
            <w:webHidden/>
          </w:rPr>
          <w:t>20</w:t>
        </w:r>
        <w:r w:rsidR="00EF653E">
          <w:rPr>
            <w:noProof/>
            <w:webHidden/>
          </w:rPr>
          <w:fldChar w:fldCharType="end"/>
        </w:r>
      </w:hyperlink>
    </w:p>
    <w:p w:rsidR="00963DA2" w:rsidRDefault="005B4134">
      <w:pPr>
        <w:pStyle w:val="TableofFigures"/>
        <w:tabs>
          <w:tab w:val="right" w:leader="dot" w:pos="9350"/>
        </w:tabs>
        <w:rPr>
          <w:noProof/>
        </w:rPr>
      </w:pPr>
      <w:hyperlink w:anchor="_Toc377544434" w:history="1">
        <w:r w:rsidR="00963DA2" w:rsidRPr="00BB45E4">
          <w:rPr>
            <w:rStyle w:val="Hyperlink"/>
            <w:noProof/>
          </w:rPr>
          <w:t>Table 9</w:t>
        </w:r>
        <w:r w:rsidR="00963DA2" w:rsidRPr="00BB45E4">
          <w:rPr>
            <w:rStyle w:val="Hyperlink"/>
            <w:noProof/>
            <w:lang w:val="en-GB"/>
          </w:rPr>
          <w:t>: A comparison between the average fuel economy of new LDVs registered in Bahrain, USA, OECD, and non-OECD countries in 2005, 2008, 2010 and 2012 (L/100 km, CAFE)</w:t>
        </w:r>
        <w:r w:rsidR="00963DA2">
          <w:rPr>
            <w:noProof/>
            <w:webHidden/>
          </w:rPr>
          <w:tab/>
        </w:r>
        <w:r w:rsidR="00EF653E">
          <w:rPr>
            <w:noProof/>
            <w:webHidden/>
          </w:rPr>
          <w:fldChar w:fldCharType="begin"/>
        </w:r>
        <w:r w:rsidR="00963DA2">
          <w:rPr>
            <w:noProof/>
            <w:webHidden/>
          </w:rPr>
          <w:instrText xml:space="preserve"> PAGEREF _Toc377544434 \h </w:instrText>
        </w:r>
        <w:r w:rsidR="00EF653E">
          <w:rPr>
            <w:noProof/>
            <w:webHidden/>
          </w:rPr>
        </w:r>
        <w:r w:rsidR="00EF653E">
          <w:rPr>
            <w:noProof/>
            <w:webHidden/>
          </w:rPr>
          <w:fldChar w:fldCharType="separate"/>
        </w:r>
        <w:r w:rsidR="00963DA2">
          <w:rPr>
            <w:noProof/>
            <w:webHidden/>
          </w:rPr>
          <w:t>20</w:t>
        </w:r>
        <w:r w:rsidR="00EF653E">
          <w:rPr>
            <w:noProof/>
            <w:webHidden/>
          </w:rPr>
          <w:fldChar w:fldCharType="end"/>
        </w:r>
      </w:hyperlink>
    </w:p>
    <w:p w:rsidR="00963DA2" w:rsidRDefault="005B4134">
      <w:pPr>
        <w:pStyle w:val="TableofFigures"/>
        <w:tabs>
          <w:tab w:val="right" w:leader="dot" w:pos="9350"/>
        </w:tabs>
        <w:rPr>
          <w:noProof/>
        </w:rPr>
      </w:pPr>
      <w:hyperlink w:anchor="_Toc377544435" w:history="1">
        <w:r w:rsidR="00963DA2" w:rsidRPr="00BB45E4">
          <w:rPr>
            <w:rStyle w:val="Hyperlink"/>
            <w:noProof/>
          </w:rPr>
          <w:t>Table 10</w:t>
        </w:r>
        <w:r w:rsidR="00963DA2" w:rsidRPr="00BB45E4">
          <w:rPr>
            <w:rStyle w:val="Hyperlink"/>
            <w:noProof/>
            <w:lang w:val="en-GB"/>
          </w:rPr>
          <w:t>: A comparison between the average fuel economy of new LDVs registered in Bahrain, OECD, and non-OECD countries in 2005, 2008, 2010 and 2012 (L/100 km, CAFE)</w:t>
        </w:r>
        <w:r w:rsidR="00963DA2">
          <w:rPr>
            <w:noProof/>
            <w:webHidden/>
          </w:rPr>
          <w:tab/>
        </w:r>
        <w:r w:rsidR="00EF653E">
          <w:rPr>
            <w:noProof/>
            <w:webHidden/>
          </w:rPr>
          <w:fldChar w:fldCharType="begin"/>
        </w:r>
        <w:r w:rsidR="00963DA2">
          <w:rPr>
            <w:noProof/>
            <w:webHidden/>
          </w:rPr>
          <w:instrText xml:space="preserve"> PAGEREF _Toc377544435 \h </w:instrText>
        </w:r>
        <w:r w:rsidR="00EF653E">
          <w:rPr>
            <w:noProof/>
            <w:webHidden/>
          </w:rPr>
        </w:r>
        <w:r w:rsidR="00EF653E">
          <w:rPr>
            <w:noProof/>
            <w:webHidden/>
          </w:rPr>
          <w:fldChar w:fldCharType="separate"/>
        </w:r>
        <w:r w:rsidR="00963DA2">
          <w:rPr>
            <w:noProof/>
            <w:webHidden/>
          </w:rPr>
          <w:t>20</w:t>
        </w:r>
        <w:r w:rsidR="00EF653E">
          <w:rPr>
            <w:noProof/>
            <w:webHidden/>
          </w:rPr>
          <w:fldChar w:fldCharType="end"/>
        </w:r>
      </w:hyperlink>
    </w:p>
    <w:p w:rsidR="00963DA2" w:rsidRDefault="005B4134">
      <w:pPr>
        <w:pStyle w:val="TableofFigures"/>
        <w:tabs>
          <w:tab w:val="right" w:leader="dot" w:pos="9350"/>
        </w:tabs>
        <w:rPr>
          <w:noProof/>
        </w:rPr>
      </w:pPr>
      <w:hyperlink w:anchor="_Toc377544436" w:history="1">
        <w:r w:rsidR="00963DA2" w:rsidRPr="00BB45E4">
          <w:rPr>
            <w:rStyle w:val="Hyperlink"/>
            <w:noProof/>
          </w:rPr>
          <w:t>Table 11</w:t>
        </w:r>
        <w:r w:rsidR="00963DA2" w:rsidRPr="00BB45E4">
          <w:rPr>
            <w:rStyle w:val="Hyperlink"/>
            <w:noProof/>
            <w:lang w:val="en-GB"/>
          </w:rPr>
          <w:t>: A comparison between the average CO2 emissions from new models of passenger vehicles in the EU and Bahrain in 2005, 2008, 2010 and 2012 (g CO2/km)</w:t>
        </w:r>
        <w:r w:rsidR="00963DA2">
          <w:rPr>
            <w:noProof/>
            <w:webHidden/>
          </w:rPr>
          <w:tab/>
        </w:r>
        <w:r w:rsidR="00EF653E">
          <w:rPr>
            <w:noProof/>
            <w:webHidden/>
          </w:rPr>
          <w:fldChar w:fldCharType="begin"/>
        </w:r>
        <w:r w:rsidR="00963DA2">
          <w:rPr>
            <w:noProof/>
            <w:webHidden/>
          </w:rPr>
          <w:instrText xml:space="preserve"> PAGEREF _Toc377544436 \h </w:instrText>
        </w:r>
        <w:r w:rsidR="00EF653E">
          <w:rPr>
            <w:noProof/>
            <w:webHidden/>
          </w:rPr>
        </w:r>
        <w:r w:rsidR="00EF653E">
          <w:rPr>
            <w:noProof/>
            <w:webHidden/>
          </w:rPr>
          <w:fldChar w:fldCharType="separate"/>
        </w:r>
        <w:r w:rsidR="00963DA2">
          <w:rPr>
            <w:noProof/>
            <w:webHidden/>
          </w:rPr>
          <w:t>21</w:t>
        </w:r>
        <w:r w:rsidR="00EF653E">
          <w:rPr>
            <w:noProof/>
            <w:webHidden/>
          </w:rPr>
          <w:fldChar w:fldCharType="end"/>
        </w:r>
      </w:hyperlink>
    </w:p>
    <w:p w:rsidR="00963DA2" w:rsidRDefault="005B4134">
      <w:pPr>
        <w:pStyle w:val="TableofFigures"/>
        <w:tabs>
          <w:tab w:val="right" w:leader="dot" w:pos="9350"/>
        </w:tabs>
        <w:rPr>
          <w:noProof/>
        </w:rPr>
      </w:pPr>
      <w:hyperlink w:anchor="_Toc377544437" w:history="1">
        <w:r w:rsidR="00963DA2" w:rsidRPr="00BB45E4">
          <w:rPr>
            <w:rStyle w:val="Hyperlink"/>
            <w:noProof/>
          </w:rPr>
          <w:t>Table 12</w:t>
        </w:r>
        <w:r w:rsidR="00963DA2" w:rsidRPr="00BB45E4">
          <w:rPr>
            <w:rStyle w:val="Hyperlink"/>
            <w:noProof/>
            <w:lang w:val="en-GB"/>
          </w:rPr>
          <w:t>: Total new vehicles, new LDVs and gasoline LDVs in Bahrain in 2005, 2008, 2010 and 2012</w:t>
        </w:r>
        <w:r w:rsidR="00963DA2">
          <w:rPr>
            <w:noProof/>
            <w:webHidden/>
          </w:rPr>
          <w:tab/>
        </w:r>
        <w:r w:rsidR="00EF653E">
          <w:rPr>
            <w:noProof/>
            <w:webHidden/>
          </w:rPr>
          <w:fldChar w:fldCharType="begin"/>
        </w:r>
        <w:r w:rsidR="00963DA2">
          <w:rPr>
            <w:noProof/>
            <w:webHidden/>
          </w:rPr>
          <w:instrText xml:space="preserve"> PAGEREF _Toc377544437 \h </w:instrText>
        </w:r>
        <w:r w:rsidR="00EF653E">
          <w:rPr>
            <w:noProof/>
            <w:webHidden/>
          </w:rPr>
        </w:r>
        <w:r w:rsidR="00EF653E">
          <w:rPr>
            <w:noProof/>
            <w:webHidden/>
          </w:rPr>
          <w:fldChar w:fldCharType="separate"/>
        </w:r>
        <w:r w:rsidR="00963DA2">
          <w:rPr>
            <w:noProof/>
            <w:webHidden/>
          </w:rPr>
          <w:t>21</w:t>
        </w:r>
        <w:r w:rsidR="00EF653E">
          <w:rPr>
            <w:noProof/>
            <w:webHidden/>
          </w:rPr>
          <w:fldChar w:fldCharType="end"/>
        </w:r>
      </w:hyperlink>
    </w:p>
    <w:p w:rsidR="00963DA2" w:rsidRDefault="005B4134">
      <w:pPr>
        <w:pStyle w:val="TableofFigures"/>
        <w:tabs>
          <w:tab w:val="right" w:leader="dot" w:pos="9350"/>
        </w:tabs>
        <w:rPr>
          <w:noProof/>
        </w:rPr>
      </w:pPr>
      <w:hyperlink w:anchor="_Toc377544438" w:history="1">
        <w:r w:rsidR="00963DA2" w:rsidRPr="00BB45E4">
          <w:rPr>
            <w:rStyle w:val="Hyperlink"/>
            <w:noProof/>
          </w:rPr>
          <w:t>Table 13</w:t>
        </w:r>
        <w:r w:rsidR="00963DA2" w:rsidRPr="00BB45E4">
          <w:rPr>
            <w:rStyle w:val="Hyperlink"/>
            <w:noProof/>
            <w:lang w:val="en-GB"/>
          </w:rPr>
          <w:t>: Average curb weight and engine size of new LDVs in Bahrain in 2005, 2008, 2010 and 2012</w:t>
        </w:r>
        <w:r w:rsidR="00963DA2">
          <w:rPr>
            <w:noProof/>
            <w:webHidden/>
          </w:rPr>
          <w:tab/>
        </w:r>
        <w:r w:rsidR="00EF653E">
          <w:rPr>
            <w:noProof/>
            <w:webHidden/>
          </w:rPr>
          <w:fldChar w:fldCharType="begin"/>
        </w:r>
        <w:r w:rsidR="00963DA2">
          <w:rPr>
            <w:noProof/>
            <w:webHidden/>
          </w:rPr>
          <w:instrText xml:space="preserve"> PAGEREF _Toc377544438 \h </w:instrText>
        </w:r>
        <w:r w:rsidR="00EF653E">
          <w:rPr>
            <w:noProof/>
            <w:webHidden/>
          </w:rPr>
        </w:r>
        <w:r w:rsidR="00EF653E">
          <w:rPr>
            <w:noProof/>
            <w:webHidden/>
          </w:rPr>
          <w:fldChar w:fldCharType="separate"/>
        </w:r>
        <w:r w:rsidR="00963DA2">
          <w:rPr>
            <w:noProof/>
            <w:webHidden/>
          </w:rPr>
          <w:t>21</w:t>
        </w:r>
        <w:r w:rsidR="00EF653E">
          <w:rPr>
            <w:noProof/>
            <w:webHidden/>
          </w:rPr>
          <w:fldChar w:fldCharType="end"/>
        </w:r>
      </w:hyperlink>
    </w:p>
    <w:p w:rsidR="00963DA2" w:rsidRDefault="005B4134">
      <w:pPr>
        <w:pStyle w:val="TableofFigures"/>
        <w:tabs>
          <w:tab w:val="right" w:leader="dot" w:pos="9350"/>
        </w:tabs>
        <w:rPr>
          <w:noProof/>
        </w:rPr>
      </w:pPr>
      <w:hyperlink w:anchor="_Toc377544439" w:history="1">
        <w:r w:rsidR="00963DA2" w:rsidRPr="00BB45E4">
          <w:rPr>
            <w:rStyle w:val="Hyperlink"/>
            <w:noProof/>
          </w:rPr>
          <w:t>Table 14</w:t>
        </w:r>
        <w:r w:rsidR="00963DA2" w:rsidRPr="00BB45E4">
          <w:rPr>
            <w:rStyle w:val="Hyperlink"/>
            <w:noProof/>
            <w:lang w:val="en-GB"/>
          </w:rPr>
          <w:t>: Number of new LDVs per year of first registration</w:t>
        </w:r>
        <w:r w:rsidR="00963DA2">
          <w:rPr>
            <w:noProof/>
            <w:webHidden/>
          </w:rPr>
          <w:tab/>
        </w:r>
        <w:r w:rsidR="00EF653E">
          <w:rPr>
            <w:noProof/>
            <w:webHidden/>
          </w:rPr>
          <w:fldChar w:fldCharType="begin"/>
        </w:r>
        <w:r w:rsidR="00963DA2">
          <w:rPr>
            <w:noProof/>
            <w:webHidden/>
          </w:rPr>
          <w:instrText xml:space="preserve"> PAGEREF _Toc377544439 \h </w:instrText>
        </w:r>
        <w:r w:rsidR="00EF653E">
          <w:rPr>
            <w:noProof/>
            <w:webHidden/>
          </w:rPr>
        </w:r>
        <w:r w:rsidR="00EF653E">
          <w:rPr>
            <w:noProof/>
            <w:webHidden/>
          </w:rPr>
          <w:fldChar w:fldCharType="separate"/>
        </w:r>
        <w:r w:rsidR="00963DA2">
          <w:rPr>
            <w:noProof/>
            <w:webHidden/>
          </w:rPr>
          <w:t>21</w:t>
        </w:r>
        <w:r w:rsidR="00EF653E">
          <w:rPr>
            <w:noProof/>
            <w:webHidden/>
          </w:rPr>
          <w:fldChar w:fldCharType="end"/>
        </w:r>
      </w:hyperlink>
    </w:p>
    <w:p w:rsidR="00E944B4" w:rsidRDefault="00EF653E" w:rsidP="00E944B4">
      <w:pPr>
        <w:tabs>
          <w:tab w:val="left" w:pos="3540"/>
        </w:tabs>
        <w:rPr>
          <w:sz w:val="24"/>
          <w:szCs w:val="24"/>
        </w:rPr>
      </w:pPr>
      <w:r>
        <w:rPr>
          <w:sz w:val="24"/>
          <w:szCs w:val="24"/>
        </w:rPr>
        <w:fldChar w:fldCharType="end"/>
      </w:r>
    </w:p>
    <w:p w:rsidR="00E944B4" w:rsidRDefault="00E944B4" w:rsidP="00E944B4">
      <w:pPr>
        <w:tabs>
          <w:tab w:val="left" w:pos="3540"/>
        </w:tabs>
        <w:rPr>
          <w:sz w:val="24"/>
          <w:szCs w:val="24"/>
        </w:rPr>
      </w:pPr>
    </w:p>
    <w:p w:rsidR="00EE0879" w:rsidRDefault="00EE0879" w:rsidP="00E944B4">
      <w:pPr>
        <w:tabs>
          <w:tab w:val="left" w:pos="3540"/>
        </w:tabs>
        <w:jc w:val="center"/>
        <w:rPr>
          <w:b/>
          <w:bCs/>
          <w:sz w:val="24"/>
          <w:szCs w:val="24"/>
        </w:rPr>
      </w:pPr>
    </w:p>
    <w:p w:rsidR="00E944B4" w:rsidRPr="00E944B4" w:rsidRDefault="00E944B4" w:rsidP="00E944B4">
      <w:pPr>
        <w:tabs>
          <w:tab w:val="left" w:pos="3540"/>
        </w:tabs>
        <w:jc w:val="center"/>
        <w:rPr>
          <w:b/>
          <w:bCs/>
          <w:sz w:val="24"/>
          <w:szCs w:val="24"/>
        </w:rPr>
      </w:pPr>
      <w:r w:rsidRPr="00E944B4">
        <w:rPr>
          <w:b/>
          <w:bCs/>
          <w:sz w:val="24"/>
          <w:szCs w:val="24"/>
        </w:rPr>
        <w:lastRenderedPageBreak/>
        <w:t>List of Figures</w:t>
      </w:r>
    </w:p>
    <w:p w:rsidR="00DC6600" w:rsidRDefault="00EF653E">
      <w:pPr>
        <w:pStyle w:val="TableofFigures"/>
        <w:tabs>
          <w:tab w:val="right" w:leader="dot" w:pos="9350"/>
        </w:tabs>
        <w:rPr>
          <w:noProof/>
        </w:rPr>
      </w:pPr>
      <w:r>
        <w:rPr>
          <w:sz w:val="24"/>
          <w:szCs w:val="24"/>
        </w:rPr>
        <w:fldChar w:fldCharType="begin"/>
      </w:r>
      <w:r w:rsidR="00E944B4">
        <w:rPr>
          <w:sz w:val="24"/>
          <w:szCs w:val="24"/>
        </w:rPr>
        <w:instrText xml:space="preserve"> TOC \h \z \c "Figure" </w:instrText>
      </w:r>
      <w:r>
        <w:rPr>
          <w:sz w:val="24"/>
          <w:szCs w:val="24"/>
        </w:rPr>
        <w:fldChar w:fldCharType="separate"/>
      </w:r>
      <w:hyperlink w:anchor="_Toc377544463" w:history="1">
        <w:r w:rsidR="00DC6600" w:rsidRPr="00DC6600">
          <w:rPr>
            <w:rStyle w:val="Hyperlink"/>
            <w:rFonts w:cs="Times New Roman"/>
            <w:noProof/>
          </w:rPr>
          <w:t>Figure 1: Passenger vehicle number vs. population size and real GDP in Bahrain between 2000 and 2010.</w:t>
        </w:r>
        <w:r w:rsidR="00DC6600">
          <w:rPr>
            <w:noProof/>
            <w:webHidden/>
          </w:rPr>
          <w:tab/>
        </w:r>
        <w:r>
          <w:rPr>
            <w:noProof/>
            <w:webHidden/>
          </w:rPr>
          <w:fldChar w:fldCharType="begin"/>
        </w:r>
        <w:r w:rsidR="00DC6600">
          <w:rPr>
            <w:noProof/>
            <w:webHidden/>
          </w:rPr>
          <w:instrText xml:space="preserve"> PAGEREF _Toc377544463 \h </w:instrText>
        </w:r>
        <w:r>
          <w:rPr>
            <w:noProof/>
            <w:webHidden/>
          </w:rPr>
        </w:r>
        <w:r>
          <w:rPr>
            <w:noProof/>
            <w:webHidden/>
          </w:rPr>
          <w:fldChar w:fldCharType="separate"/>
        </w:r>
        <w:r w:rsidR="00DC6600">
          <w:rPr>
            <w:noProof/>
            <w:webHidden/>
          </w:rPr>
          <w:t>5</w:t>
        </w:r>
        <w:r>
          <w:rPr>
            <w:noProof/>
            <w:webHidden/>
          </w:rPr>
          <w:fldChar w:fldCharType="end"/>
        </w:r>
      </w:hyperlink>
    </w:p>
    <w:p w:rsidR="00DC6600" w:rsidRDefault="005B4134">
      <w:pPr>
        <w:pStyle w:val="TableofFigures"/>
        <w:tabs>
          <w:tab w:val="right" w:leader="dot" w:pos="9350"/>
        </w:tabs>
        <w:rPr>
          <w:noProof/>
        </w:rPr>
      </w:pPr>
      <w:hyperlink w:anchor="_Toc377544464" w:history="1">
        <w:r w:rsidR="00DC6600" w:rsidRPr="00451B2E">
          <w:rPr>
            <w:rStyle w:val="Hyperlink"/>
            <w:noProof/>
          </w:rPr>
          <w:t>Figure 2</w:t>
        </w:r>
        <w:r w:rsidR="00DC6600" w:rsidRPr="00451B2E">
          <w:rPr>
            <w:rStyle w:val="Hyperlink"/>
            <w:noProof/>
            <w:lang w:val="en-GB"/>
          </w:rPr>
          <w:t>: Gasoline consumption in Bahrain between 2000 and 2010 (TJ)</w:t>
        </w:r>
        <w:r w:rsidR="00DC6600">
          <w:rPr>
            <w:noProof/>
            <w:webHidden/>
          </w:rPr>
          <w:tab/>
        </w:r>
        <w:r w:rsidR="00EF653E">
          <w:rPr>
            <w:noProof/>
            <w:webHidden/>
          </w:rPr>
          <w:fldChar w:fldCharType="begin"/>
        </w:r>
        <w:r w:rsidR="00DC6600">
          <w:rPr>
            <w:noProof/>
            <w:webHidden/>
          </w:rPr>
          <w:instrText xml:space="preserve"> PAGEREF _Toc377544464 \h </w:instrText>
        </w:r>
        <w:r w:rsidR="00EF653E">
          <w:rPr>
            <w:noProof/>
            <w:webHidden/>
          </w:rPr>
        </w:r>
        <w:r w:rsidR="00EF653E">
          <w:rPr>
            <w:noProof/>
            <w:webHidden/>
          </w:rPr>
          <w:fldChar w:fldCharType="separate"/>
        </w:r>
        <w:r w:rsidR="00DC6600">
          <w:rPr>
            <w:noProof/>
            <w:webHidden/>
          </w:rPr>
          <w:t>6</w:t>
        </w:r>
        <w:r w:rsidR="00EF653E">
          <w:rPr>
            <w:noProof/>
            <w:webHidden/>
          </w:rPr>
          <w:fldChar w:fldCharType="end"/>
        </w:r>
      </w:hyperlink>
    </w:p>
    <w:p w:rsidR="00DC6600" w:rsidRDefault="005B4134">
      <w:pPr>
        <w:pStyle w:val="TableofFigures"/>
        <w:tabs>
          <w:tab w:val="right" w:leader="dot" w:pos="9350"/>
        </w:tabs>
        <w:rPr>
          <w:noProof/>
        </w:rPr>
      </w:pPr>
      <w:hyperlink w:anchor="_Toc377544465" w:history="1">
        <w:r w:rsidR="00DC6600" w:rsidRPr="00451B2E">
          <w:rPr>
            <w:rStyle w:val="Hyperlink"/>
            <w:noProof/>
          </w:rPr>
          <w:t>Figure 3</w:t>
        </w:r>
        <w:r w:rsidR="00DC6600" w:rsidRPr="00451B2E">
          <w:rPr>
            <w:rStyle w:val="Hyperlink"/>
            <w:noProof/>
            <w:lang w:val="en-GB"/>
          </w:rPr>
          <w:t>: Total number of registered vehicles in Bahrain between 2000 and 2012</w:t>
        </w:r>
        <w:r w:rsidR="00DC6600">
          <w:rPr>
            <w:noProof/>
            <w:webHidden/>
          </w:rPr>
          <w:tab/>
        </w:r>
        <w:r w:rsidR="00EF653E">
          <w:rPr>
            <w:noProof/>
            <w:webHidden/>
          </w:rPr>
          <w:fldChar w:fldCharType="begin"/>
        </w:r>
        <w:r w:rsidR="00DC6600">
          <w:rPr>
            <w:noProof/>
            <w:webHidden/>
          </w:rPr>
          <w:instrText xml:space="preserve"> PAGEREF _Toc377544465 \h </w:instrText>
        </w:r>
        <w:r w:rsidR="00EF653E">
          <w:rPr>
            <w:noProof/>
            <w:webHidden/>
          </w:rPr>
        </w:r>
        <w:r w:rsidR="00EF653E">
          <w:rPr>
            <w:noProof/>
            <w:webHidden/>
          </w:rPr>
          <w:fldChar w:fldCharType="separate"/>
        </w:r>
        <w:r w:rsidR="00DC6600">
          <w:rPr>
            <w:noProof/>
            <w:webHidden/>
          </w:rPr>
          <w:t>6</w:t>
        </w:r>
        <w:r w:rsidR="00EF653E">
          <w:rPr>
            <w:noProof/>
            <w:webHidden/>
          </w:rPr>
          <w:fldChar w:fldCharType="end"/>
        </w:r>
      </w:hyperlink>
    </w:p>
    <w:p w:rsidR="00DC6600" w:rsidRDefault="005B4134">
      <w:pPr>
        <w:pStyle w:val="TableofFigures"/>
        <w:tabs>
          <w:tab w:val="right" w:leader="dot" w:pos="9350"/>
        </w:tabs>
        <w:rPr>
          <w:noProof/>
        </w:rPr>
      </w:pPr>
      <w:hyperlink w:anchor="_Toc377544466" w:history="1">
        <w:r w:rsidR="00DC6600" w:rsidRPr="00451B2E">
          <w:rPr>
            <w:rStyle w:val="Hyperlink"/>
            <w:noProof/>
          </w:rPr>
          <w:t>Figure 4</w:t>
        </w:r>
        <w:r w:rsidR="00DC6600" w:rsidRPr="00451B2E">
          <w:rPr>
            <w:rStyle w:val="Hyperlink"/>
            <w:noProof/>
            <w:lang w:val="en-GB"/>
          </w:rPr>
          <w:t>: Carbon emissions from transport sector in Bahrain between 2000 and 2010</w:t>
        </w:r>
        <w:r w:rsidR="00DC6600">
          <w:rPr>
            <w:noProof/>
            <w:webHidden/>
          </w:rPr>
          <w:tab/>
        </w:r>
        <w:r w:rsidR="00EF653E">
          <w:rPr>
            <w:noProof/>
            <w:webHidden/>
          </w:rPr>
          <w:fldChar w:fldCharType="begin"/>
        </w:r>
        <w:r w:rsidR="00DC6600">
          <w:rPr>
            <w:noProof/>
            <w:webHidden/>
          </w:rPr>
          <w:instrText xml:space="preserve"> PAGEREF _Toc377544466 \h </w:instrText>
        </w:r>
        <w:r w:rsidR="00EF653E">
          <w:rPr>
            <w:noProof/>
            <w:webHidden/>
          </w:rPr>
        </w:r>
        <w:r w:rsidR="00EF653E">
          <w:rPr>
            <w:noProof/>
            <w:webHidden/>
          </w:rPr>
          <w:fldChar w:fldCharType="separate"/>
        </w:r>
        <w:r w:rsidR="00DC6600">
          <w:rPr>
            <w:noProof/>
            <w:webHidden/>
          </w:rPr>
          <w:t>7</w:t>
        </w:r>
        <w:r w:rsidR="00EF653E">
          <w:rPr>
            <w:noProof/>
            <w:webHidden/>
          </w:rPr>
          <w:fldChar w:fldCharType="end"/>
        </w:r>
      </w:hyperlink>
    </w:p>
    <w:p w:rsidR="00DC6600" w:rsidRDefault="005B4134">
      <w:pPr>
        <w:pStyle w:val="TableofFigures"/>
        <w:tabs>
          <w:tab w:val="right" w:leader="dot" w:pos="9350"/>
        </w:tabs>
        <w:rPr>
          <w:noProof/>
        </w:rPr>
      </w:pPr>
      <w:hyperlink w:anchor="_Toc377544467" w:history="1">
        <w:r w:rsidR="00DC6600" w:rsidRPr="00451B2E">
          <w:rPr>
            <w:rStyle w:val="Hyperlink"/>
            <w:noProof/>
          </w:rPr>
          <w:t>Figure 5</w:t>
        </w:r>
        <w:r w:rsidR="00DC6600" w:rsidRPr="00451B2E">
          <w:rPr>
            <w:rStyle w:val="Hyperlink"/>
            <w:noProof/>
            <w:lang w:val="en-GB"/>
          </w:rPr>
          <w:t>: Average fuel economy (L/100km) and CO2 emissions (g/km) for new LDVs in Bahrain</w:t>
        </w:r>
        <w:r w:rsidR="00DC6600">
          <w:rPr>
            <w:noProof/>
            <w:webHidden/>
          </w:rPr>
          <w:tab/>
        </w:r>
        <w:r w:rsidR="00EF653E">
          <w:rPr>
            <w:noProof/>
            <w:webHidden/>
          </w:rPr>
          <w:fldChar w:fldCharType="begin"/>
        </w:r>
        <w:r w:rsidR="00DC6600">
          <w:rPr>
            <w:noProof/>
            <w:webHidden/>
          </w:rPr>
          <w:instrText xml:space="preserve"> PAGEREF _Toc377544467 \h </w:instrText>
        </w:r>
        <w:r w:rsidR="00EF653E">
          <w:rPr>
            <w:noProof/>
            <w:webHidden/>
          </w:rPr>
        </w:r>
        <w:r w:rsidR="00EF653E">
          <w:rPr>
            <w:noProof/>
            <w:webHidden/>
          </w:rPr>
          <w:fldChar w:fldCharType="separate"/>
        </w:r>
        <w:r w:rsidR="00DC6600">
          <w:rPr>
            <w:noProof/>
            <w:webHidden/>
          </w:rPr>
          <w:t>8</w:t>
        </w:r>
        <w:r w:rsidR="00EF653E">
          <w:rPr>
            <w:noProof/>
            <w:webHidden/>
          </w:rPr>
          <w:fldChar w:fldCharType="end"/>
        </w:r>
      </w:hyperlink>
    </w:p>
    <w:p w:rsidR="00DC6600" w:rsidRDefault="005B4134">
      <w:pPr>
        <w:pStyle w:val="TableofFigures"/>
        <w:tabs>
          <w:tab w:val="right" w:leader="dot" w:pos="9350"/>
        </w:tabs>
        <w:rPr>
          <w:noProof/>
        </w:rPr>
      </w:pPr>
      <w:hyperlink w:anchor="_Toc377544468" w:history="1">
        <w:r w:rsidR="00DC6600" w:rsidRPr="00451B2E">
          <w:rPr>
            <w:rStyle w:val="Hyperlink"/>
            <w:noProof/>
          </w:rPr>
          <w:t>Figure 6</w:t>
        </w:r>
        <w:r w:rsidR="00DC6600" w:rsidRPr="00451B2E">
          <w:rPr>
            <w:rStyle w:val="Hyperlink"/>
            <w:noProof/>
            <w:lang w:val="en-GB"/>
          </w:rPr>
          <w:t>: A comparison between the average fuel economy of new LDVs registered in Bahrain and USA in 2005, 2008, 2010 and 2012 (L/100 km, CAFE)</w:t>
        </w:r>
        <w:r w:rsidR="00DC6600">
          <w:rPr>
            <w:noProof/>
            <w:webHidden/>
          </w:rPr>
          <w:tab/>
        </w:r>
        <w:r w:rsidR="00EF653E">
          <w:rPr>
            <w:noProof/>
            <w:webHidden/>
          </w:rPr>
          <w:fldChar w:fldCharType="begin"/>
        </w:r>
        <w:r w:rsidR="00DC6600">
          <w:rPr>
            <w:noProof/>
            <w:webHidden/>
          </w:rPr>
          <w:instrText xml:space="preserve"> PAGEREF _Toc377544468 \h </w:instrText>
        </w:r>
        <w:r w:rsidR="00EF653E">
          <w:rPr>
            <w:noProof/>
            <w:webHidden/>
          </w:rPr>
        </w:r>
        <w:r w:rsidR="00EF653E">
          <w:rPr>
            <w:noProof/>
            <w:webHidden/>
          </w:rPr>
          <w:fldChar w:fldCharType="separate"/>
        </w:r>
        <w:r w:rsidR="00DC6600">
          <w:rPr>
            <w:noProof/>
            <w:webHidden/>
          </w:rPr>
          <w:t>9</w:t>
        </w:r>
        <w:r w:rsidR="00EF653E">
          <w:rPr>
            <w:noProof/>
            <w:webHidden/>
          </w:rPr>
          <w:fldChar w:fldCharType="end"/>
        </w:r>
      </w:hyperlink>
    </w:p>
    <w:p w:rsidR="00DC6600" w:rsidRDefault="005B4134">
      <w:pPr>
        <w:pStyle w:val="TableofFigures"/>
        <w:tabs>
          <w:tab w:val="right" w:leader="dot" w:pos="9350"/>
        </w:tabs>
        <w:rPr>
          <w:noProof/>
        </w:rPr>
      </w:pPr>
      <w:hyperlink w:anchor="_Toc377544469" w:history="1">
        <w:r w:rsidR="00DC6600" w:rsidRPr="00451B2E">
          <w:rPr>
            <w:rStyle w:val="Hyperlink"/>
            <w:noProof/>
          </w:rPr>
          <w:t>Figure 7</w:t>
        </w:r>
        <w:r w:rsidR="00DC6600" w:rsidRPr="00451B2E">
          <w:rPr>
            <w:rStyle w:val="Hyperlink"/>
            <w:noProof/>
            <w:lang w:val="en-GB"/>
          </w:rPr>
          <w:t>: : A comparison between the average fuel economy of new LDVs registered in Bahrain, OECD, and non-OECD countries in 2005, 2008, 2010 and 2012 (L/100 km, NEDC)</w:t>
        </w:r>
        <w:r w:rsidR="00DC6600">
          <w:rPr>
            <w:noProof/>
            <w:webHidden/>
          </w:rPr>
          <w:tab/>
        </w:r>
        <w:r w:rsidR="00EF653E">
          <w:rPr>
            <w:noProof/>
            <w:webHidden/>
          </w:rPr>
          <w:fldChar w:fldCharType="begin"/>
        </w:r>
        <w:r w:rsidR="00DC6600">
          <w:rPr>
            <w:noProof/>
            <w:webHidden/>
          </w:rPr>
          <w:instrText xml:space="preserve"> PAGEREF _Toc377544469 \h </w:instrText>
        </w:r>
        <w:r w:rsidR="00EF653E">
          <w:rPr>
            <w:noProof/>
            <w:webHidden/>
          </w:rPr>
        </w:r>
        <w:r w:rsidR="00EF653E">
          <w:rPr>
            <w:noProof/>
            <w:webHidden/>
          </w:rPr>
          <w:fldChar w:fldCharType="separate"/>
        </w:r>
        <w:r w:rsidR="00DC6600">
          <w:rPr>
            <w:noProof/>
            <w:webHidden/>
          </w:rPr>
          <w:t>9</w:t>
        </w:r>
        <w:r w:rsidR="00EF653E">
          <w:rPr>
            <w:noProof/>
            <w:webHidden/>
          </w:rPr>
          <w:fldChar w:fldCharType="end"/>
        </w:r>
      </w:hyperlink>
    </w:p>
    <w:p w:rsidR="00DC6600" w:rsidRDefault="005B4134">
      <w:pPr>
        <w:pStyle w:val="TableofFigures"/>
        <w:tabs>
          <w:tab w:val="right" w:leader="dot" w:pos="9350"/>
        </w:tabs>
        <w:rPr>
          <w:noProof/>
        </w:rPr>
      </w:pPr>
      <w:hyperlink w:anchor="_Toc377544470" w:history="1">
        <w:r w:rsidR="00DC6600" w:rsidRPr="00451B2E">
          <w:rPr>
            <w:rStyle w:val="Hyperlink"/>
            <w:noProof/>
          </w:rPr>
          <w:t>Figure 8</w:t>
        </w:r>
        <w:r w:rsidR="00DC6600" w:rsidRPr="00451B2E">
          <w:rPr>
            <w:rStyle w:val="Hyperlink"/>
            <w:noProof/>
            <w:lang w:val="en-GB"/>
          </w:rPr>
          <w:t>: A comparison between the average CO2 emissions from new models of passenger vehicles in the EU and Bahrain in 2005, 2008, 2010 and 2012 (g CO2/km)</w:t>
        </w:r>
        <w:r w:rsidR="00DC6600">
          <w:rPr>
            <w:noProof/>
            <w:webHidden/>
          </w:rPr>
          <w:tab/>
        </w:r>
        <w:r w:rsidR="00EF653E">
          <w:rPr>
            <w:noProof/>
            <w:webHidden/>
          </w:rPr>
          <w:fldChar w:fldCharType="begin"/>
        </w:r>
        <w:r w:rsidR="00DC6600">
          <w:rPr>
            <w:noProof/>
            <w:webHidden/>
          </w:rPr>
          <w:instrText xml:space="preserve"> PAGEREF _Toc377544470 \h </w:instrText>
        </w:r>
        <w:r w:rsidR="00EF653E">
          <w:rPr>
            <w:noProof/>
            <w:webHidden/>
          </w:rPr>
        </w:r>
        <w:r w:rsidR="00EF653E">
          <w:rPr>
            <w:noProof/>
            <w:webHidden/>
          </w:rPr>
          <w:fldChar w:fldCharType="separate"/>
        </w:r>
        <w:r w:rsidR="00DC6600">
          <w:rPr>
            <w:noProof/>
            <w:webHidden/>
          </w:rPr>
          <w:t>10</w:t>
        </w:r>
        <w:r w:rsidR="00EF653E">
          <w:rPr>
            <w:noProof/>
            <w:webHidden/>
          </w:rPr>
          <w:fldChar w:fldCharType="end"/>
        </w:r>
      </w:hyperlink>
    </w:p>
    <w:p w:rsidR="00DC6600" w:rsidRDefault="005B4134">
      <w:pPr>
        <w:pStyle w:val="TableofFigures"/>
        <w:tabs>
          <w:tab w:val="right" w:leader="dot" w:pos="9350"/>
        </w:tabs>
        <w:rPr>
          <w:noProof/>
        </w:rPr>
      </w:pPr>
      <w:hyperlink w:anchor="_Toc377544471" w:history="1">
        <w:r w:rsidR="00DC6600" w:rsidRPr="00451B2E">
          <w:rPr>
            <w:rStyle w:val="Hyperlink"/>
            <w:noProof/>
          </w:rPr>
          <w:t>Figure 9</w:t>
        </w:r>
        <w:r w:rsidR="00DC6600" w:rsidRPr="00451B2E">
          <w:rPr>
            <w:rStyle w:val="Hyperlink"/>
            <w:noProof/>
            <w:lang w:val="en-GB"/>
          </w:rPr>
          <w:t>: Total new LDVs and other types in Bahrain in 2005, 2008, 2010 and 2012</w:t>
        </w:r>
        <w:r w:rsidR="00DC6600">
          <w:rPr>
            <w:noProof/>
            <w:webHidden/>
          </w:rPr>
          <w:tab/>
        </w:r>
        <w:r w:rsidR="00EF653E">
          <w:rPr>
            <w:noProof/>
            <w:webHidden/>
          </w:rPr>
          <w:fldChar w:fldCharType="begin"/>
        </w:r>
        <w:r w:rsidR="00DC6600">
          <w:rPr>
            <w:noProof/>
            <w:webHidden/>
          </w:rPr>
          <w:instrText xml:space="preserve"> PAGEREF _Toc377544471 \h </w:instrText>
        </w:r>
        <w:r w:rsidR="00EF653E">
          <w:rPr>
            <w:noProof/>
            <w:webHidden/>
          </w:rPr>
        </w:r>
        <w:r w:rsidR="00EF653E">
          <w:rPr>
            <w:noProof/>
            <w:webHidden/>
          </w:rPr>
          <w:fldChar w:fldCharType="separate"/>
        </w:r>
        <w:r w:rsidR="00DC6600">
          <w:rPr>
            <w:noProof/>
            <w:webHidden/>
          </w:rPr>
          <w:t>10</w:t>
        </w:r>
        <w:r w:rsidR="00EF653E">
          <w:rPr>
            <w:noProof/>
            <w:webHidden/>
          </w:rPr>
          <w:fldChar w:fldCharType="end"/>
        </w:r>
      </w:hyperlink>
    </w:p>
    <w:p w:rsidR="00DC6600" w:rsidRDefault="005B4134">
      <w:pPr>
        <w:pStyle w:val="TableofFigures"/>
        <w:tabs>
          <w:tab w:val="right" w:leader="dot" w:pos="9350"/>
        </w:tabs>
        <w:rPr>
          <w:noProof/>
        </w:rPr>
      </w:pPr>
      <w:hyperlink w:anchor="_Toc377544472" w:history="1">
        <w:r w:rsidR="00DC6600" w:rsidRPr="00451B2E">
          <w:rPr>
            <w:rStyle w:val="Hyperlink"/>
            <w:noProof/>
          </w:rPr>
          <w:t>Figure 10</w:t>
        </w:r>
        <w:r w:rsidR="00DC6600" w:rsidRPr="00451B2E">
          <w:rPr>
            <w:rStyle w:val="Hyperlink"/>
            <w:noProof/>
            <w:lang w:val="en-GB"/>
          </w:rPr>
          <w:t>: Average curb weight and engine size of new LDVs in Bahrain in 2005, 2008, 2010 and 2012</w:t>
        </w:r>
        <w:r w:rsidR="00DC6600">
          <w:rPr>
            <w:noProof/>
            <w:webHidden/>
          </w:rPr>
          <w:tab/>
        </w:r>
        <w:r w:rsidR="00EF653E">
          <w:rPr>
            <w:noProof/>
            <w:webHidden/>
          </w:rPr>
          <w:fldChar w:fldCharType="begin"/>
        </w:r>
        <w:r w:rsidR="00DC6600">
          <w:rPr>
            <w:noProof/>
            <w:webHidden/>
          </w:rPr>
          <w:instrText xml:space="preserve"> PAGEREF _Toc377544472 \h </w:instrText>
        </w:r>
        <w:r w:rsidR="00EF653E">
          <w:rPr>
            <w:noProof/>
            <w:webHidden/>
          </w:rPr>
        </w:r>
        <w:r w:rsidR="00EF653E">
          <w:rPr>
            <w:noProof/>
            <w:webHidden/>
          </w:rPr>
          <w:fldChar w:fldCharType="separate"/>
        </w:r>
        <w:r w:rsidR="00DC6600">
          <w:rPr>
            <w:noProof/>
            <w:webHidden/>
          </w:rPr>
          <w:t>11</w:t>
        </w:r>
        <w:r w:rsidR="00EF653E">
          <w:rPr>
            <w:noProof/>
            <w:webHidden/>
          </w:rPr>
          <w:fldChar w:fldCharType="end"/>
        </w:r>
      </w:hyperlink>
    </w:p>
    <w:p w:rsidR="00DC6600" w:rsidRDefault="005B4134">
      <w:pPr>
        <w:pStyle w:val="TableofFigures"/>
        <w:tabs>
          <w:tab w:val="right" w:leader="dot" w:pos="9350"/>
        </w:tabs>
        <w:rPr>
          <w:noProof/>
        </w:rPr>
      </w:pPr>
      <w:hyperlink w:anchor="_Toc377544473" w:history="1">
        <w:r w:rsidR="00DC6600" w:rsidRPr="00451B2E">
          <w:rPr>
            <w:rStyle w:val="Hyperlink"/>
            <w:noProof/>
          </w:rPr>
          <w:t>Figure 11</w:t>
        </w:r>
        <w:r w:rsidR="00DC6600" w:rsidRPr="00451B2E">
          <w:rPr>
            <w:rStyle w:val="Hyperlink"/>
            <w:noProof/>
            <w:lang w:val="en-GB"/>
          </w:rPr>
          <w:t>: Number of new LDVs per year of first registration</w:t>
        </w:r>
        <w:r w:rsidR="00DC6600">
          <w:rPr>
            <w:noProof/>
            <w:webHidden/>
          </w:rPr>
          <w:tab/>
        </w:r>
        <w:r w:rsidR="00EF653E">
          <w:rPr>
            <w:noProof/>
            <w:webHidden/>
          </w:rPr>
          <w:fldChar w:fldCharType="begin"/>
        </w:r>
        <w:r w:rsidR="00DC6600">
          <w:rPr>
            <w:noProof/>
            <w:webHidden/>
          </w:rPr>
          <w:instrText xml:space="preserve"> PAGEREF _Toc377544473 \h </w:instrText>
        </w:r>
        <w:r w:rsidR="00EF653E">
          <w:rPr>
            <w:noProof/>
            <w:webHidden/>
          </w:rPr>
        </w:r>
        <w:r w:rsidR="00EF653E">
          <w:rPr>
            <w:noProof/>
            <w:webHidden/>
          </w:rPr>
          <w:fldChar w:fldCharType="separate"/>
        </w:r>
        <w:r w:rsidR="00DC6600">
          <w:rPr>
            <w:noProof/>
            <w:webHidden/>
          </w:rPr>
          <w:t>11</w:t>
        </w:r>
        <w:r w:rsidR="00EF653E">
          <w:rPr>
            <w:noProof/>
            <w:webHidden/>
          </w:rPr>
          <w:fldChar w:fldCharType="end"/>
        </w:r>
      </w:hyperlink>
    </w:p>
    <w:p w:rsidR="00E944B4" w:rsidRPr="00E944B4" w:rsidRDefault="00EF653E" w:rsidP="00E944B4">
      <w:pPr>
        <w:tabs>
          <w:tab w:val="left" w:pos="3540"/>
        </w:tabs>
        <w:rPr>
          <w:sz w:val="24"/>
          <w:szCs w:val="24"/>
        </w:rPr>
      </w:pPr>
      <w:r>
        <w:rPr>
          <w:sz w:val="24"/>
          <w:szCs w:val="24"/>
        </w:rPr>
        <w:fldChar w:fldCharType="end"/>
      </w:r>
    </w:p>
    <w:p w:rsidR="0077002B" w:rsidRPr="00213B56" w:rsidRDefault="00050D7F" w:rsidP="00E944B4">
      <w:pPr>
        <w:pStyle w:val="Heading2"/>
        <w:pageBreakBefore/>
        <w:rPr>
          <w:sz w:val="24"/>
          <w:szCs w:val="24"/>
        </w:rPr>
      </w:pPr>
      <w:bookmarkStart w:id="1" w:name="_Toc377544395"/>
      <w:r w:rsidRPr="00213B56">
        <w:rPr>
          <w:sz w:val="24"/>
          <w:szCs w:val="24"/>
        </w:rPr>
        <w:lastRenderedPageBreak/>
        <w:t>Introduction</w:t>
      </w:r>
      <w:bookmarkEnd w:id="1"/>
      <w:r w:rsidR="007D4CF3">
        <w:rPr>
          <w:sz w:val="24"/>
          <w:szCs w:val="24"/>
        </w:rPr>
        <w:t xml:space="preserve"> </w:t>
      </w:r>
    </w:p>
    <w:p w:rsidR="007941A4" w:rsidRPr="00213B56" w:rsidRDefault="00525FD4" w:rsidP="00B87BA9">
      <w:pPr>
        <w:spacing w:after="0" w:line="240" w:lineRule="auto"/>
        <w:jc w:val="both"/>
        <w:rPr>
          <w:rFonts w:cs="Times New Roman"/>
          <w:sz w:val="24"/>
          <w:szCs w:val="24"/>
        </w:rPr>
      </w:pPr>
      <w:r w:rsidRPr="00213B56">
        <w:rPr>
          <w:rFonts w:cs="Times New Roman"/>
          <w:sz w:val="24"/>
          <w:szCs w:val="24"/>
        </w:rPr>
        <w:t>The transport sector is responsible for 27</w:t>
      </w:r>
      <w:r w:rsidR="00F1178F" w:rsidRPr="00213B56">
        <w:rPr>
          <w:rFonts w:cs="Times New Roman"/>
          <w:sz w:val="24"/>
          <w:szCs w:val="24"/>
        </w:rPr>
        <w:t xml:space="preserve"> </w:t>
      </w:r>
      <w:r w:rsidRPr="00213B56">
        <w:rPr>
          <w:rFonts w:cs="Times New Roman"/>
          <w:sz w:val="24"/>
          <w:szCs w:val="24"/>
        </w:rPr>
        <w:t xml:space="preserve">% of the world energy consumption (IEA, 2012a). This proportion has increased from </w:t>
      </w:r>
      <w:r w:rsidR="00B87BA9" w:rsidRPr="00213B56">
        <w:rPr>
          <w:rFonts w:cs="Times New Roman"/>
          <w:sz w:val="24"/>
          <w:szCs w:val="24"/>
        </w:rPr>
        <w:t>23</w:t>
      </w:r>
      <w:r w:rsidRPr="00213B56">
        <w:rPr>
          <w:rFonts w:cs="Times New Roman"/>
          <w:sz w:val="24"/>
          <w:szCs w:val="24"/>
        </w:rPr>
        <w:t>% in 1973 (IEA, 2011) and contributes to 22</w:t>
      </w:r>
      <w:r w:rsidR="004B35F9" w:rsidRPr="00213B56">
        <w:rPr>
          <w:rFonts w:cs="Times New Roman"/>
          <w:sz w:val="24"/>
          <w:szCs w:val="24"/>
        </w:rPr>
        <w:t xml:space="preserve"> </w:t>
      </w:r>
      <w:r w:rsidRPr="00213B56">
        <w:rPr>
          <w:rFonts w:cs="Times New Roman"/>
          <w:sz w:val="24"/>
          <w:szCs w:val="24"/>
        </w:rPr>
        <w:t>% of total CO</w:t>
      </w:r>
      <w:r w:rsidRPr="00213B56">
        <w:rPr>
          <w:rFonts w:cs="Times New Roman"/>
          <w:sz w:val="24"/>
          <w:szCs w:val="24"/>
          <w:vertAlign w:val="subscript"/>
        </w:rPr>
        <w:t>2</w:t>
      </w:r>
      <w:r w:rsidRPr="00213B56">
        <w:rPr>
          <w:rFonts w:cs="Times New Roman"/>
          <w:sz w:val="24"/>
          <w:szCs w:val="24"/>
        </w:rPr>
        <w:t xml:space="preserve"> emissions (IEA, 2012b). </w:t>
      </w:r>
    </w:p>
    <w:p w:rsidR="007941A4" w:rsidRPr="00213B56" w:rsidRDefault="007941A4" w:rsidP="003505A7">
      <w:pPr>
        <w:spacing w:after="0" w:line="240" w:lineRule="auto"/>
        <w:jc w:val="both"/>
        <w:rPr>
          <w:rFonts w:cs="Times New Roman"/>
          <w:sz w:val="24"/>
          <w:szCs w:val="24"/>
        </w:rPr>
      </w:pPr>
    </w:p>
    <w:p w:rsidR="007941A4" w:rsidRPr="00213B56" w:rsidRDefault="00EF467B" w:rsidP="00FD64F8">
      <w:pPr>
        <w:spacing w:after="0" w:line="240" w:lineRule="auto"/>
        <w:jc w:val="both"/>
        <w:rPr>
          <w:rFonts w:cs="Times New Roman"/>
          <w:sz w:val="24"/>
          <w:szCs w:val="24"/>
        </w:rPr>
      </w:pPr>
      <w:r w:rsidRPr="00213B56">
        <w:rPr>
          <w:rFonts w:cs="Times New Roman"/>
          <w:sz w:val="24"/>
          <w:szCs w:val="24"/>
        </w:rPr>
        <w:t>Many countries worldwide have fuel economy or CO</w:t>
      </w:r>
      <w:r w:rsidRPr="00213B56">
        <w:rPr>
          <w:rFonts w:cs="Times New Roman"/>
          <w:sz w:val="24"/>
          <w:szCs w:val="24"/>
          <w:vertAlign w:val="subscript"/>
        </w:rPr>
        <w:t>2</w:t>
      </w:r>
      <w:r w:rsidRPr="00213B56">
        <w:rPr>
          <w:rFonts w:cs="Times New Roman"/>
          <w:sz w:val="24"/>
          <w:szCs w:val="24"/>
        </w:rPr>
        <w:t xml:space="preserve"> emissions standards in place </w:t>
      </w:r>
      <w:r w:rsidR="001D4CBA" w:rsidRPr="00213B56">
        <w:rPr>
          <w:rFonts w:cs="Times New Roman"/>
          <w:sz w:val="24"/>
          <w:szCs w:val="24"/>
        </w:rPr>
        <w:t>to improve vehicle</w:t>
      </w:r>
      <w:r w:rsidRPr="00213B56">
        <w:rPr>
          <w:rFonts w:cs="Times New Roman"/>
          <w:sz w:val="24"/>
          <w:szCs w:val="24"/>
        </w:rPr>
        <w:t xml:space="preserve"> efficiency.</w:t>
      </w:r>
      <w:r w:rsidR="007941A4" w:rsidRPr="00213B56">
        <w:rPr>
          <w:rFonts w:cs="Times New Roman"/>
          <w:sz w:val="24"/>
          <w:szCs w:val="24"/>
        </w:rPr>
        <w:t xml:space="preserve"> </w:t>
      </w:r>
      <w:r w:rsidR="00567C44" w:rsidRPr="00213B56">
        <w:rPr>
          <w:sz w:val="24"/>
          <w:szCs w:val="24"/>
        </w:rPr>
        <w:t>A</w:t>
      </w:r>
      <w:r w:rsidR="00A11CE6" w:rsidRPr="00213B56">
        <w:rPr>
          <w:sz w:val="24"/>
          <w:szCs w:val="24"/>
        </w:rPr>
        <w:t xml:space="preserve"> number of initiatives around the world </w:t>
      </w:r>
      <w:r w:rsidR="00567C44" w:rsidRPr="00213B56">
        <w:rPr>
          <w:sz w:val="24"/>
          <w:szCs w:val="24"/>
        </w:rPr>
        <w:t>are also introduced to</w:t>
      </w:r>
      <w:r w:rsidR="00A11CE6" w:rsidRPr="00213B56">
        <w:rPr>
          <w:sz w:val="24"/>
          <w:szCs w:val="24"/>
        </w:rPr>
        <w:t xml:space="preserve"> help countries with regard to fuel economy standards, data</w:t>
      </w:r>
      <w:r w:rsidR="009C21C1" w:rsidRPr="00213B56">
        <w:rPr>
          <w:sz w:val="24"/>
          <w:szCs w:val="24"/>
        </w:rPr>
        <w:t xml:space="preserve"> availability</w:t>
      </w:r>
      <w:r w:rsidR="00A11CE6" w:rsidRPr="00213B56">
        <w:rPr>
          <w:sz w:val="24"/>
          <w:szCs w:val="24"/>
        </w:rPr>
        <w:t xml:space="preserve"> and calculation methodologies. </w:t>
      </w:r>
      <w:r w:rsidR="00A11CE6" w:rsidRPr="00213B56">
        <w:rPr>
          <w:rFonts w:cs="Times New Roman"/>
          <w:sz w:val="24"/>
          <w:szCs w:val="24"/>
        </w:rPr>
        <w:t xml:space="preserve">The </w:t>
      </w:r>
      <w:r w:rsidR="007941A4" w:rsidRPr="00213B56">
        <w:rPr>
          <w:rFonts w:cs="Times New Roman"/>
          <w:sz w:val="24"/>
          <w:szCs w:val="24"/>
        </w:rPr>
        <w:t xml:space="preserve">Global Fuel Economy Initiative (GFEI) </w:t>
      </w:r>
      <w:r w:rsidR="00AA0A5F" w:rsidRPr="00213B56">
        <w:rPr>
          <w:rFonts w:cs="Times New Roman"/>
          <w:sz w:val="24"/>
          <w:szCs w:val="24"/>
        </w:rPr>
        <w:t>–</w:t>
      </w:r>
      <w:r w:rsidR="00EF1EBA" w:rsidRPr="00213B56">
        <w:rPr>
          <w:rFonts w:cs="Times New Roman"/>
          <w:sz w:val="24"/>
          <w:szCs w:val="24"/>
        </w:rPr>
        <w:t xml:space="preserve"> </w:t>
      </w:r>
      <w:r w:rsidR="00AA0A5F" w:rsidRPr="00213B56">
        <w:rPr>
          <w:rFonts w:cs="Times New Roman"/>
          <w:sz w:val="24"/>
          <w:szCs w:val="24"/>
        </w:rPr>
        <w:t>for example</w:t>
      </w:r>
      <w:r w:rsidR="00EF1EBA" w:rsidRPr="00213B56">
        <w:rPr>
          <w:rFonts w:cs="Times New Roman"/>
          <w:sz w:val="24"/>
          <w:szCs w:val="24"/>
        </w:rPr>
        <w:t xml:space="preserve"> </w:t>
      </w:r>
      <w:r w:rsidR="00AA0A5F" w:rsidRPr="00213B56">
        <w:rPr>
          <w:rFonts w:cs="Times New Roman"/>
          <w:sz w:val="24"/>
          <w:szCs w:val="24"/>
        </w:rPr>
        <w:t xml:space="preserve">- </w:t>
      </w:r>
      <w:r w:rsidR="007941A4" w:rsidRPr="00213B56">
        <w:rPr>
          <w:rFonts w:cs="Times New Roman"/>
          <w:sz w:val="24"/>
          <w:szCs w:val="24"/>
        </w:rPr>
        <w:t>comes as an effort of five organizations</w:t>
      </w:r>
      <w:r w:rsidR="007941A4" w:rsidRPr="00213B56">
        <w:rPr>
          <w:rStyle w:val="FootnoteReference"/>
          <w:rFonts w:cs="Times New Roman"/>
          <w:sz w:val="24"/>
          <w:szCs w:val="24"/>
        </w:rPr>
        <w:footnoteReference w:id="1"/>
      </w:r>
      <w:r w:rsidR="007941A4" w:rsidRPr="00213B56">
        <w:rPr>
          <w:rFonts w:cs="Times New Roman"/>
          <w:sz w:val="24"/>
          <w:szCs w:val="24"/>
        </w:rPr>
        <w:t xml:space="preserve"> to promote improvements in vehicle fuel economy. This initiative aims to achieve 50 % improvements by 2050 in all </w:t>
      </w:r>
      <w:r w:rsidR="00D917DD" w:rsidRPr="00213B56">
        <w:rPr>
          <w:rFonts w:cs="Times New Roman"/>
          <w:sz w:val="24"/>
          <w:szCs w:val="24"/>
        </w:rPr>
        <w:t>vehicles</w:t>
      </w:r>
      <w:r w:rsidR="007941A4" w:rsidRPr="00213B56">
        <w:rPr>
          <w:rFonts w:cs="Times New Roman"/>
          <w:sz w:val="24"/>
          <w:szCs w:val="24"/>
        </w:rPr>
        <w:t xml:space="preserve"> globally compared to that in the year 2005. Th</w:t>
      </w:r>
      <w:r w:rsidR="00FD64F8" w:rsidRPr="00213B56">
        <w:rPr>
          <w:rFonts w:cs="Times New Roman"/>
          <w:sz w:val="24"/>
          <w:szCs w:val="24"/>
        </w:rPr>
        <w:t>e</w:t>
      </w:r>
      <w:r w:rsidR="007941A4" w:rsidRPr="00213B56">
        <w:rPr>
          <w:rFonts w:cs="Times New Roman"/>
          <w:sz w:val="24"/>
          <w:szCs w:val="24"/>
        </w:rPr>
        <w:t xml:space="preserve"> initiative’s main activities include</w:t>
      </w:r>
      <w:r w:rsidR="005F3F85" w:rsidRPr="00213B56">
        <w:rPr>
          <w:rFonts w:cs="Times New Roman"/>
          <w:sz w:val="24"/>
          <w:szCs w:val="24"/>
        </w:rPr>
        <w:t>:</w:t>
      </w:r>
      <w:r w:rsidR="007941A4" w:rsidRPr="00213B56">
        <w:rPr>
          <w:rFonts w:cs="Times New Roman"/>
          <w:sz w:val="24"/>
          <w:szCs w:val="24"/>
        </w:rPr>
        <w:t xml:space="preserve"> data development and analysis, policy support, and awareness raising (GFEI, 2013a).</w:t>
      </w:r>
    </w:p>
    <w:p w:rsidR="000F0F94" w:rsidRPr="00213B56" w:rsidRDefault="000F0F94" w:rsidP="003505A7">
      <w:pPr>
        <w:spacing w:after="0" w:line="240" w:lineRule="auto"/>
        <w:jc w:val="both"/>
        <w:rPr>
          <w:rFonts w:cs="Times New Roman"/>
          <w:sz w:val="24"/>
          <w:szCs w:val="24"/>
        </w:rPr>
      </w:pPr>
    </w:p>
    <w:p w:rsidR="000F0F94" w:rsidRPr="00213B56" w:rsidRDefault="000F0F94" w:rsidP="00C553FC">
      <w:pPr>
        <w:spacing w:after="0" w:line="240" w:lineRule="auto"/>
        <w:jc w:val="both"/>
        <w:rPr>
          <w:rFonts w:cs="Times New Roman"/>
          <w:sz w:val="24"/>
          <w:szCs w:val="24"/>
        </w:rPr>
      </w:pPr>
      <w:r w:rsidRPr="00213B56">
        <w:rPr>
          <w:rFonts w:cs="Times New Roman"/>
          <w:sz w:val="24"/>
          <w:szCs w:val="24"/>
        </w:rPr>
        <w:t>In Bahrain, as in most other countries, road transport sector is one of the highest energy consuming sectors. It consumes around 22</w:t>
      </w:r>
      <w:r w:rsidR="00080C7C" w:rsidRPr="00213B56">
        <w:rPr>
          <w:rFonts w:cs="Times New Roman"/>
          <w:sz w:val="24"/>
          <w:szCs w:val="24"/>
        </w:rPr>
        <w:t xml:space="preserve"> </w:t>
      </w:r>
      <w:r w:rsidRPr="00213B56">
        <w:rPr>
          <w:rFonts w:cs="Times New Roman"/>
          <w:sz w:val="24"/>
          <w:szCs w:val="24"/>
        </w:rPr>
        <w:t>% of its total energy (IEA, 2012a) and is responsible for a significant share of the CO</w:t>
      </w:r>
      <w:r w:rsidRPr="00213B56">
        <w:rPr>
          <w:rFonts w:cs="Times New Roman"/>
          <w:sz w:val="24"/>
          <w:szCs w:val="24"/>
          <w:vertAlign w:val="subscript"/>
        </w:rPr>
        <w:t>2</w:t>
      </w:r>
      <w:r w:rsidRPr="00213B56">
        <w:rPr>
          <w:rFonts w:cs="Times New Roman"/>
          <w:sz w:val="24"/>
          <w:szCs w:val="24"/>
        </w:rPr>
        <w:t xml:space="preserve"> emissions. </w:t>
      </w:r>
      <w:r w:rsidR="00F8551B" w:rsidRPr="00213B56">
        <w:rPr>
          <w:rFonts w:cs="Times New Roman"/>
          <w:sz w:val="24"/>
          <w:szCs w:val="24"/>
        </w:rPr>
        <w:t xml:space="preserve">According to Bahrain’s </w:t>
      </w:r>
      <w:r w:rsidR="002A4767" w:rsidRPr="00213B56">
        <w:rPr>
          <w:rFonts w:cs="Times New Roman"/>
          <w:sz w:val="24"/>
          <w:szCs w:val="24"/>
        </w:rPr>
        <w:t>S</w:t>
      </w:r>
      <w:r w:rsidR="00F8551B" w:rsidRPr="00213B56">
        <w:rPr>
          <w:rFonts w:cs="Times New Roman"/>
          <w:sz w:val="24"/>
          <w:szCs w:val="24"/>
        </w:rPr>
        <w:t xml:space="preserve">econd </w:t>
      </w:r>
      <w:r w:rsidR="002A4767" w:rsidRPr="00213B56">
        <w:rPr>
          <w:rFonts w:cs="Times New Roman"/>
          <w:sz w:val="24"/>
          <w:szCs w:val="24"/>
        </w:rPr>
        <w:t>C</w:t>
      </w:r>
      <w:r w:rsidR="00F8551B" w:rsidRPr="00213B56">
        <w:rPr>
          <w:rFonts w:cs="Times New Roman"/>
          <w:sz w:val="24"/>
          <w:szCs w:val="24"/>
        </w:rPr>
        <w:t>ommunication to the United Nations Framework Convention on Climate Change (UNFCCC), the CO</w:t>
      </w:r>
      <w:r w:rsidR="00F8551B" w:rsidRPr="00213B56">
        <w:rPr>
          <w:rFonts w:cs="Times New Roman"/>
          <w:sz w:val="24"/>
          <w:szCs w:val="24"/>
          <w:vertAlign w:val="subscript"/>
        </w:rPr>
        <w:t>2</w:t>
      </w:r>
      <w:r w:rsidR="00F8551B" w:rsidRPr="00213B56">
        <w:rPr>
          <w:rFonts w:cs="Times New Roman"/>
          <w:sz w:val="24"/>
          <w:szCs w:val="24"/>
        </w:rPr>
        <w:t xml:space="preserve"> emissions from transport sector has been increasing over the period </w:t>
      </w:r>
      <w:r w:rsidR="002A4767" w:rsidRPr="00213B56">
        <w:rPr>
          <w:rFonts w:cs="Times New Roman"/>
          <w:sz w:val="24"/>
          <w:szCs w:val="24"/>
        </w:rPr>
        <w:t>2000 - 2010</w:t>
      </w:r>
      <w:r w:rsidR="00F8551B" w:rsidRPr="00213B56">
        <w:rPr>
          <w:rFonts w:cs="Times New Roman"/>
          <w:sz w:val="24"/>
          <w:szCs w:val="24"/>
        </w:rPr>
        <w:t xml:space="preserve"> by </w:t>
      </w:r>
      <w:r w:rsidR="00D021C4" w:rsidRPr="00213B56">
        <w:rPr>
          <w:rFonts w:cs="Times New Roman"/>
          <w:sz w:val="24"/>
          <w:szCs w:val="24"/>
        </w:rPr>
        <w:t xml:space="preserve">5.5 </w:t>
      </w:r>
      <w:r w:rsidR="00F8551B" w:rsidRPr="00213B56">
        <w:rPr>
          <w:rFonts w:cs="Times New Roman"/>
          <w:sz w:val="24"/>
          <w:szCs w:val="24"/>
        </w:rPr>
        <w:t>% in average</w:t>
      </w:r>
      <w:r w:rsidR="002C314E" w:rsidRPr="00213B56">
        <w:rPr>
          <w:rFonts w:cs="Times New Roman"/>
          <w:sz w:val="24"/>
          <w:szCs w:val="24"/>
        </w:rPr>
        <w:t xml:space="preserve"> (PMEW, 2012)</w:t>
      </w:r>
      <w:r w:rsidR="00F8551B" w:rsidRPr="00213B56">
        <w:rPr>
          <w:rFonts w:cs="Times New Roman"/>
          <w:sz w:val="24"/>
          <w:szCs w:val="24"/>
        </w:rPr>
        <w:t xml:space="preserve">. </w:t>
      </w:r>
      <w:r w:rsidRPr="00213B56">
        <w:rPr>
          <w:rFonts w:cs="Times New Roman"/>
          <w:sz w:val="24"/>
          <w:szCs w:val="24"/>
        </w:rPr>
        <w:t>This is due to the rapid increase in the number of the passenger vehicles (7.3</w:t>
      </w:r>
      <w:r w:rsidR="00080C7C" w:rsidRPr="00213B56">
        <w:rPr>
          <w:rFonts w:cs="Times New Roman"/>
          <w:sz w:val="24"/>
          <w:szCs w:val="24"/>
        </w:rPr>
        <w:t xml:space="preserve"> </w:t>
      </w:r>
      <w:r w:rsidRPr="00213B56">
        <w:rPr>
          <w:rFonts w:cs="Times New Roman"/>
          <w:sz w:val="24"/>
          <w:szCs w:val="24"/>
        </w:rPr>
        <w:t>% per year on average) (General Direc</w:t>
      </w:r>
      <w:r w:rsidR="001030C1" w:rsidRPr="00213B56">
        <w:rPr>
          <w:rFonts w:cs="Times New Roman"/>
          <w:sz w:val="24"/>
          <w:szCs w:val="24"/>
        </w:rPr>
        <w:t>torate of Traffic, 2012</w:t>
      </w:r>
      <w:r w:rsidRPr="00213B56">
        <w:rPr>
          <w:rFonts w:cs="Times New Roman"/>
          <w:sz w:val="24"/>
          <w:szCs w:val="24"/>
        </w:rPr>
        <w:t>) which resulted in an accelerated rise in fuel consumption (5.7</w:t>
      </w:r>
      <w:r w:rsidR="00080C7C" w:rsidRPr="00213B56">
        <w:rPr>
          <w:rFonts w:cs="Times New Roman"/>
          <w:sz w:val="24"/>
          <w:szCs w:val="24"/>
        </w:rPr>
        <w:t xml:space="preserve"> </w:t>
      </w:r>
      <w:r w:rsidRPr="00213B56">
        <w:rPr>
          <w:rFonts w:cs="Times New Roman"/>
          <w:sz w:val="24"/>
          <w:szCs w:val="24"/>
        </w:rPr>
        <w:t xml:space="preserve">% per year on average) (CIO, 2012) </w:t>
      </w:r>
      <w:r w:rsidR="00F8551B" w:rsidRPr="00213B56">
        <w:rPr>
          <w:rFonts w:cs="Times New Roman"/>
          <w:sz w:val="24"/>
          <w:szCs w:val="24"/>
        </w:rPr>
        <w:t xml:space="preserve">in addition to the </w:t>
      </w:r>
      <w:r w:rsidRPr="00213B56">
        <w:rPr>
          <w:rFonts w:cs="Times New Roman"/>
          <w:sz w:val="24"/>
          <w:szCs w:val="24"/>
        </w:rPr>
        <w:t>increase in the carbon emissions.</w:t>
      </w:r>
      <w:r w:rsidR="005939B2" w:rsidRPr="00213B56">
        <w:rPr>
          <w:rFonts w:cs="Times New Roman"/>
          <w:sz w:val="24"/>
          <w:szCs w:val="24"/>
        </w:rPr>
        <w:t xml:space="preserve"> </w:t>
      </w:r>
      <w:r w:rsidR="00C553FC" w:rsidRPr="00213B56">
        <w:rPr>
          <w:rFonts w:cs="Times New Roman"/>
          <w:sz w:val="24"/>
          <w:szCs w:val="24"/>
        </w:rPr>
        <w:t>F</w:t>
      </w:r>
      <w:r w:rsidR="005939B2" w:rsidRPr="00213B56">
        <w:rPr>
          <w:rFonts w:cs="Times New Roman"/>
          <w:sz w:val="24"/>
          <w:szCs w:val="24"/>
        </w:rPr>
        <w:t>uel consumption and CO</w:t>
      </w:r>
      <w:r w:rsidR="005939B2" w:rsidRPr="00213B56">
        <w:rPr>
          <w:rFonts w:cs="Times New Roman"/>
          <w:sz w:val="24"/>
          <w:szCs w:val="24"/>
          <w:vertAlign w:val="subscript"/>
        </w:rPr>
        <w:t>2</w:t>
      </w:r>
      <w:r w:rsidR="005939B2" w:rsidRPr="00213B56">
        <w:rPr>
          <w:rFonts w:cs="Times New Roman"/>
          <w:sz w:val="24"/>
          <w:szCs w:val="24"/>
        </w:rPr>
        <w:t xml:space="preserve"> emissions of passenger vehicles in Bahrain </w:t>
      </w:r>
      <w:r w:rsidR="00A273B0" w:rsidRPr="00213B56">
        <w:rPr>
          <w:rFonts w:cs="Times New Roman"/>
          <w:sz w:val="24"/>
          <w:szCs w:val="24"/>
        </w:rPr>
        <w:t>are</w:t>
      </w:r>
      <w:r w:rsidR="005939B2" w:rsidRPr="00213B56">
        <w:rPr>
          <w:rFonts w:cs="Times New Roman"/>
          <w:sz w:val="24"/>
          <w:szCs w:val="24"/>
        </w:rPr>
        <w:t xml:space="preserve"> projected to double in the year 2030 compared to 2010 (Alsabbagh et al., 2013).</w:t>
      </w:r>
    </w:p>
    <w:p w:rsidR="007F0132" w:rsidRPr="00213B56" w:rsidRDefault="007F0132" w:rsidP="00583D6F">
      <w:pPr>
        <w:spacing w:after="0" w:line="240" w:lineRule="auto"/>
        <w:jc w:val="both"/>
        <w:rPr>
          <w:rFonts w:cs="Times New Roman"/>
          <w:color w:val="FF0000"/>
          <w:sz w:val="24"/>
          <w:szCs w:val="24"/>
        </w:rPr>
      </w:pPr>
    </w:p>
    <w:p w:rsidR="00671B59" w:rsidRPr="00213B56" w:rsidRDefault="00583D6F" w:rsidP="00F168CD">
      <w:pPr>
        <w:spacing w:after="0" w:line="240" w:lineRule="auto"/>
        <w:jc w:val="both"/>
        <w:rPr>
          <w:rFonts w:cs="Times New Roman"/>
          <w:sz w:val="24"/>
          <w:szCs w:val="24"/>
        </w:rPr>
      </w:pPr>
      <w:r w:rsidRPr="00213B56">
        <w:rPr>
          <w:rFonts w:cs="Times New Roman"/>
          <w:sz w:val="24"/>
          <w:szCs w:val="24"/>
        </w:rPr>
        <w:t>S</w:t>
      </w:r>
      <w:r w:rsidR="00F9665F" w:rsidRPr="00213B56">
        <w:rPr>
          <w:rFonts w:cs="Times New Roman"/>
          <w:sz w:val="24"/>
          <w:szCs w:val="24"/>
        </w:rPr>
        <w:t xml:space="preserve">ustainability and energy efficiency issues </w:t>
      </w:r>
      <w:r w:rsidRPr="00213B56">
        <w:rPr>
          <w:rFonts w:cs="Times New Roman"/>
          <w:sz w:val="24"/>
          <w:szCs w:val="24"/>
        </w:rPr>
        <w:t>receive considerable attention from policymakers in Bahrain. These issues</w:t>
      </w:r>
      <w:r w:rsidR="00E34E4D" w:rsidRPr="00213B56">
        <w:rPr>
          <w:rFonts w:cs="Times New Roman"/>
          <w:sz w:val="24"/>
          <w:szCs w:val="24"/>
        </w:rPr>
        <w:t xml:space="preserve"> </w:t>
      </w:r>
      <w:r w:rsidR="00E10A73" w:rsidRPr="00213B56">
        <w:rPr>
          <w:rFonts w:cs="Times New Roman"/>
          <w:sz w:val="24"/>
          <w:szCs w:val="24"/>
        </w:rPr>
        <w:t>are</w:t>
      </w:r>
      <w:r w:rsidR="00E34E4D" w:rsidRPr="00213B56">
        <w:rPr>
          <w:rFonts w:cs="Times New Roman"/>
          <w:sz w:val="24"/>
          <w:szCs w:val="24"/>
        </w:rPr>
        <w:t xml:space="preserve"> </w:t>
      </w:r>
      <w:r w:rsidR="00F9665F" w:rsidRPr="00213B56">
        <w:rPr>
          <w:rFonts w:cs="Times New Roman"/>
          <w:sz w:val="24"/>
          <w:szCs w:val="24"/>
        </w:rPr>
        <w:t>stated in the National Environment Strategy, the</w:t>
      </w:r>
      <w:r w:rsidR="00496F03" w:rsidRPr="00213B56">
        <w:rPr>
          <w:rFonts w:cs="Times New Roman"/>
          <w:sz w:val="24"/>
          <w:szCs w:val="24"/>
        </w:rPr>
        <w:t xml:space="preserve"> Economic Vision 2030, and the Second Communication R</w:t>
      </w:r>
      <w:r w:rsidR="00F9665F" w:rsidRPr="00213B56">
        <w:rPr>
          <w:rFonts w:cs="Times New Roman"/>
          <w:sz w:val="24"/>
          <w:szCs w:val="24"/>
        </w:rPr>
        <w:t>eport to the UNFCCC. However, no specific targets or action plans have been developed yet. There is no car manufacturing industry in the country, and Bahrain still has not introduced any CO</w:t>
      </w:r>
      <w:r w:rsidR="00F9665F" w:rsidRPr="00213B56">
        <w:rPr>
          <w:rFonts w:cs="Times New Roman"/>
          <w:sz w:val="24"/>
          <w:szCs w:val="24"/>
          <w:vertAlign w:val="subscript"/>
        </w:rPr>
        <w:t>2</w:t>
      </w:r>
      <w:r w:rsidR="00F9665F" w:rsidRPr="00213B56">
        <w:rPr>
          <w:rFonts w:cs="Times New Roman"/>
          <w:sz w:val="24"/>
          <w:szCs w:val="24"/>
        </w:rPr>
        <w:t xml:space="preserve"> emissions or fuel economy standards yet. </w:t>
      </w:r>
    </w:p>
    <w:p w:rsidR="00F168CD" w:rsidRPr="00213B56" w:rsidRDefault="00F168CD" w:rsidP="00F168CD">
      <w:pPr>
        <w:spacing w:after="0" w:line="240" w:lineRule="auto"/>
        <w:jc w:val="both"/>
        <w:rPr>
          <w:rFonts w:cs="Times New Roman"/>
          <w:sz w:val="24"/>
          <w:szCs w:val="24"/>
        </w:rPr>
      </w:pPr>
    </w:p>
    <w:p w:rsidR="00444A42" w:rsidRPr="00213B56" w:rsidRDefault="005B08A9" w:rsidP="004E2E90">
      <w:pPr>
        <w:spacing w:after="0" w:line="240" w:lineRule="auto"/>
        <w:jc w:val="both"/>
        <w:rPr>
          <w:rFonts w:cs="Times New Roman"/>
          <w:sz w:val="24"/>
          <w:szCs w:val="24"/>
        </w:rPr>
      </w:pPr>
      <w:r w:rsidRPr="00213B56">
        <w:rPr>
          <w:rFonts w:cs="Times New Roman"/>
          <w:sz w:val="24"/>
          <w:szCs w:val="24"/>
        </w:rPr>
        <w:t>Fuel economy and CO</w:t>
      </w:r>
      <w:r w:rsidRPr="00213B56">
        <w:rPr>
          <w:rFonts w:cs="Times New Roman"/>
          <w:sz w:val="24"/>
          <w:szCs w:val="24"/>
          <w:vertAlign w:val="subscript"/>
        </w:rPr>
        <w:t>2</w:t>
      </w:r>
      <w:r w:rsidRPr="00213B56">
        <w:rPr>
          <w:rFonts w:cs="Times New Roman"/>
          <w:sz w:val="24"/>
          <w:szCs w:val="24"/>
        </w:rPr>
        <w:t xml:space="preserve"> emissions are recognized as missing indicators for vehicles in Bahrain (Alsabbagh et al., 2013)</w:t>
      </w:r>
      <w:r w:rsidR="007F0132" w:rsidRPr="00213B56">
        <w:rPr>
          <w:rFonts w:cs="Times New Roman"/>
          <w:sz w:val="24"/>
          <w:szCs w:val="24"/>
        </w:rPr>
        <w:t xml:space="preserve">. </w:t>
      </w:r>
      <w:r w:rsidR="00444A42" w:rsidRPr="00213B56">
        <w:rPr>
          <w:rFonts w:cs="Times New Roman"/>
          <w:sz w:val="24"/>
          <w:szCs w:val="24"/>
        </w:rPr>
        <w:t xml:space="preserve">Hence, this paper aims to achieve three main objectives: firstly, it </w:t>
      </w:r>
      <w:r w:rsidR="007F0132" w:rsidRPr="00213B56">
        <w:rPr>
          <w:rFonts w:cs="Times New Roman"/>
          <w:sz w:val="24"/>
          <w:szCs w:val="24"/>
        </w:rPr>
        <w:t>supplies information on two important indicators</w:t>
      </w:r>
      <w:r w:rsidR="004E2E90" w:rsidRPr="00213B56">
        <w:rPr>
          <w:rFonts w:cs="Times New Roman"/>
          <w:sz w:val="24"/>
          <w:szCs w:val="24"/>
        </w:rPr>
        <w:t>,</w:t>
      </w:r>
      <w:r w:rsidR="007F0132" w:rsidRPr="00213B56">
        <w:rPr>
          <w:rFonts w:cs="Times New Roman"/>
          <w:sz w:val="24"/>
          <w:szCs w:val="24"/>
        </w:rPr>
        <w:t xml:space="preserve"> namely average fuel economy and CO</w:t>
      </w:r>
      <w:r w:rsidR="007F0132" w:rsidRPr="00213B56">
        <w:rPr>
          <w:rFonts w:cs="Times New Roman"/>
          <w:sz w:val="24"/>
          <w:szCs w:val="24"/>
          <w:vertAlign w:val="subscript"/>
        </w:rPr>
        <w:t>2</w:t>
      </w:r>
      <w:r w:rsidR="007F0132" w:rsidRPr="00213B56">
        <w:rPr>
          <w:rFonts w:cs="Times New Roman"/>
          <w:sz w:val="24"/>
          <w:szCs w:val="24"/>
        </w:rPr>
        <w:t xml:space="preserve"> emissions of new Light Duty Vehicles (LDVs) in Bahrain in 2005, 2008, 2010 and 2012. </w:t>
      </w:r>
      <w:r w:rsidR="00444A42" w:rsidRPr="00213B56">
        <w:rPr>
          <w:rFonts w:cs="Times New Roman"/>
          <w:sz w:val="24"/>
          <w:szCs w:val="24"/>
        </w:rPr>
        <w:t xml:space="preserve">Secondly, it </w:t>
      </w:r>
      <w:r w:rsidR="007F0132" w:rsidRPr="00213B56">
        <w:rPr>
          <w:rFonts w:cs="Times New Roman"/>
          <w:sz w:val="24"/>
          <w:szCs w:val="24"/>
        </w:rPr>
        <w:t xml:space="preserve">analyzes the fuel economy trends of new LDVs. </w:t>
      </w:r>
      <w:r w:rsidR="00F221AC" w:rsidRPr="00213B56">
        <w:rPr>
          <w:rFonts w:cs="Times New Roman"/>
          <w:sz w:val="24"/>
          <w:szCs w:val="24"/>
        </w:rPr>
        <w:t>Thirdly,</w:t>
      </w:r>
      <w:r w:rsidR="00444A42" w:rsidRPr="00213B56">
        <w:rPr>
          <w:rFonts w:cs="Times New Roman"/>
          <w:sz w:val="24"/>
          <w:szCs w:val="24"/>
        </w:rPr>
        <w:t xml:space="preserve"> this </w:t>
      </w:r>
      <w:r w:rsidR="007F0132" w:rsidRPr="00213B56">
        <w:rPr>
          <w:rFonts w:cs="Times New Roman"/>
          <w:sz w:val="24"/>
          <w:szCs w:val="24"/>
        </w:rPr>
        <w:t xml:space="preserve">study conducts comparisons between fuel economy of new LDVs in Bahrain </w:t>
      </w:r>
      <w:r w:rsidR="00023036" w:rsidRPr="00213B56">
        <w:rPr>
          <w:rFonts w:cs="Times New Roman"/>
          <w:sz w:val="24"/>
          <w:szCs w:val="24"/>
        </w:rPr>
        <w:t>and</w:t>
      </w:r>
      <w:r w:rsidR="007F0132" w:rsidRPr="00213B56">
        <w:rPr>
          <w:rFonts w:cs="Times New Roman"/>
          <w:sz w:val="24"/>
          <w:szCs w:val="24"/>
        </w:rPr>
        <w:t xml:space="preserve"> that of other countries</w:t>
      </w:r>
      <w:r w:rsidR="00444A42" w:rsidRPr="00213B56">
        <w:rPr>
          <w:rFonts w:cs="Times New Roman"/>
          <w:sz w:val="24"/>
          <w:szCs w:val="24"/>
        </w:rPr>
        <w:t>.</w:t>
      </w:r>
    </w:p>
    <w:p w:rsidR="00444A42" w:rsidRPr="00213B56" w:rsidRDefault="00444A42" w:rsidP="003505A7">
      <w:pPr>
        <w:spacing w:after="0" w:line="240" w:lineRule="auto"/>
        <w:jc w:val="both"/>
        <w:rPr>
          <w:rFonts w:cs="Times New Roman"/>
          <w:sz w:val="24"/>
          <w:szCs w:val="24"/>
        </w:rPr>
      </w:pPr>
    </w:p>
    <w:p w:rsidR="005F3B62" w:rsidRPr="00213B56" w:rsidRDefault="005F3B62" w:rsidP="007157E6">
      <w:pPr>
        <w:spacing w:after="0" w:line="240" w:lineRule="auto"/>
        <w:jc w:val="both"/>
        <w:rPr>
          <w:rFonts w:cs="Times New Roman"/>
          <w:sz w:val="24"/>
          <w:szCs w:val="24"/>
        </w:rPr>
      </w:pPr>
      <w:r w:rsidRPr="00213B56">
        <w:rPr>
          <w:rFonts w:cs="Times New Roman"/>
          <w:sz w:val="24"/>
          <w:szCs w:val="24"/>
        </w:rPr>
        <w:t xml:space="preserve">This report consists of five sections. Section 2 of the report </w:t>
      </w:r>
      <w:r w:rsidR="007157E6" w:rsidRPr="00213B56">
        <w:rPr>
          <w:rFonts w:cs="Times New Roman"/>
          <w:sz w:val="24"/>
          <w:szCs w:val="24"/>
        </w:rPr>
        <w:t>sheds light on transport sector in Bahrain</w:t>
      </w:r>
      <w:r w:rsidRPr="00213B56">
        <w:rPr>
          <w:rFonts w:cs="Times New Roman"/>
          <w:sz w:val="24"/>
          <w:szCs w:val="24"/>
        </w:rPr>
        <w:t xml:space="preserve">, </w:t>
      </w:r>
      <w:r w:rsidR="007157E6" w:rsidRPr="00213B56">
        <w:rPr>
          <w:rFonts w:cs="Times New Roman"/>
          <w:sz w:val="24"/>
          <w:szCs w:val="24"/>
        </w:rPr>
        <w:t>while</w:t>
      </w:r>
      <w:r w:rsidRPr="00213B56">
        <w:rPr>
          <w:rFonts w:cs="Times New Roman"/>
          <w:sz w:val="24"/>
          <w:szCs w:val="24"/>
        </w:rPr>
        <w:t xml:space="preserve"> the methodology is explained briefly in the subsequent section. The study results </w:t>
      </w:r>
      <w:r w:rsidRPr="00213B56">
        <w:rPr>
          <w:rFonts w:cs="Times New Roman"/>
          <w:sz w:val="24"/>
          <w:szCs w:val="24"/>
        </w:rPr>
        <w:lastRenderedPageBreak/>
        <w:t>and discussion are presented in section 4 and finally, section 5 states the main conclusions al</w:t>
      </w:r>
      <w:r w:rsidR="003639EC">
        <w:rPr>
          <w:rFonts w:cs="Times New Roman"/>
          <w:sz w:val="24"/>
          <w:szCs w:val="24"/>
        </w:rPr>
        <w:t>ong with some recommendations.</w:t>
      </w:r>
    </w:p>
    <w:p w:rsidR="004325C5" w:rsidRPr="00213B56" w:rsidRDefault="00956E1F" w:rsidP="00BC568C">
      <w:pPr>
        <w:pStyle w:val="Heading2"/>
        <w:rPr>
          <w:sz w:val="24"/>
          <w:szCs w:val="24"/>
        </w:rPr>
      </w:pPr>
      <w:bookmarkStart w:id="2" w:name="_Toc377544396"/>
      <w:r w:rsidRPr="00213B56">
        <w:rPr>
          <w:sz w:val="24"/>
          <w:szCs w:val="24"/>
        </w:rPr>
        <w:t>T</w:t>
      </w:r>
      <w:r w:rsidR="00BC568C" w:rsidRPr="00213B56">
        <w:rPr>
          <w:sz w:val="24"/>
          <w:szCs w:val="24"/>
        </w:rPr>
        <w:t>ransport Sector in Bahrain</w:t>
      </w:r>
      <w:bookmarkEnd w:id="2"/>
    </w:p>
    <w:p w:rsidR="00613EDD" w:rsidRPr="00213B56" w:rsidRDefault="0069058F" w:rsidP="00613EDD">
      <w:pPr>
        <w:spacing w:after="0" w:line="240" w:lineRule="auto"/>
        <w:jc w:val="both"/>
        <w:rPr>
          <w:rFonts w:cs="Times New Roman"/>
          <w:sz w:val="24"/>
          <w:szCs w:val="24"/>
        </w:rPr>
      </w:pPr>
      <w:r w:rsidRPr="00213B56">
        <w:rPr>
          <w:rFonts w:cs="Times New Roman"/>
          <w:sz w:val="24"/>
          <w:szCs w:val="24"/>
        </w:rPr>
        <w:t>Since 2000, the total vehicle number</w:t>
      </w:r>
      <w:r w:rsidR="003639EC">
        <w:rPr>
          <w:rFonts w:cs="Times New Roman"/>
          <w:sz w:val="24"/>
          <w:szCs w:val="24"/>
        </w:rPr>
        <w:t xml:space="preserve"> in Bahrain</w:t>
      </w:r>
      <w:r w:rsidRPr="00213B56">
        <w:rPr>
          <w:rFonts w:cs="Times New Roman"/>
          <w:sz w:val="24"/>
          <w:szCs w:val="24"/>
        </w:rPr>
        <w:t xml:space="preserve"> has grown dramatically to reach </w:t>
      </w:r>
      <w:r w:rsidR="00AD3E40" w:rsidRPr="00213B56">
        <w:rPr>
          <w:rFonts w:cs="Times New Roman"/>
          <w:sz w:val="24"/>
          <w:szCs w:val="24"/>
        </w:rPr>
        <w:t>501</w:t>
      </w:r>
      <w:r w:rsidRPr="00213B56">
        <w:rPr>
          <w:rFonts w:cs="Times New Roman"/>
          <w:sz w:val="24"/>
          <w:szCs w:val="24"/>
        </w:rPr>
        <w:t>,</w:t>
      </w:r>
      <w:r w:rsidR="00AD3E40" w:rsidRPr="00213B56">
        <w:rPr>
          <w:rFonts w:cs="Times New Roman"/>
          <w:sz w:val="24"/>
          <w:szCs w:val="24"/>
        </w:rPr>
        <w:t>481</w:t>
      </w:r>
      <w:r w:rsidRPr="00213B56">
        <w:rPr>
          <w:rFonts w:cs="Times New Roman"/>
          <w:sz w:val="24"/>
          <w:szCs w:val="24"/>
        </w:rPr>
        <w:t xml:space="preserve"> vehicles in 201</w:t>
      </w:r>
      <w:r w:rsidR="00AD3E40" w:rsidRPr="00213B56">
        <w:rPr>
          <w:rFonts w:cs="Times New Roman"/>
          <w:sz w:val="24"/>
          <w:szCs w:val="24"/>
        </w:rPr>
        <w:t>2</w:t>
      </w:r>
      <w:r w:rsidRPr="00213B56">
        <w:rPr>
          <w:rFonts w:cs="Times New Roman"/>
          <w:sz w:val="24"/>
          <w:szCs w:val="24"/>
        </w:rPr>
        <w:t xml:space="preserve"> with an average annual growth rate of 7.3</w:t>
      </w:r>
      <w:r w:rsidR="00FF3650" w:rsidRPr="00213B56">
        <w:rPr>
          <w:rFonts w:cs="Times New Roman"/>
          <w:sz w:val="24"/>
          <w:szCs w:val="24"/>
        </w:rPr>
        <w:t xml:space="preserve"> </w:t>
      </w:r>
      <w:r w:rsidRPr="00213B56">
        <w:rPr>
          <w:rFonts w:cs="Times New Roman"/>
          <w:sz w:val="24"/>
          <w:szCs w:val="24"/>
        </w:rPr>
        <w:t>% (Gene</w:t>
      </w:r>
      <w:r w:rsidR="00AD3E40" w:rsidRPr="00213B56">
        <w:rPr>
          <w:rFonts w:cs="Times New Roman"/>
          <w:sz w:val="24"/>
          <w:szCs w:val="24"/>
        </w:rPr>
        <w:t>ral Directorate of Traffic, 2012</w:t>
      </w:r>
      <w:r w:rsidRPr="00213B56">
        <w:rPr>
          <w:rFonts w:cs="Times New Roman"/>
          <w:sz w:val="24"/>
          <w:szCs w:val="24"/>
        </w:rPr>
        <w:t>).</w:t>
      </w:r>
      <w:r w:rsidR="009D0007" w:rsidRPr="00213B56">
        <w:rPr>
          <w:rFonts w:cs="Times New Roman"/>
          <w:sz w:val="24"/>
          <w:szCs w:val="24"/>
        </w:rPr>
        <w:t xml:space="preserve"> This </w:t>
      </w:r>
      <w:r w:rsidR="00613EDD" w:rsidRPr="00213B56">
        <w:rPr>
          <w:rFonts w:cs="Times New Roman"/>
          <w:sz w:val="24"/>
          <w:szCs w:val="24"/>
        </w:rPr>
        <w:t>is</w:t>
      </w:r>
      <w:r w:rsidR="009D0007" w:rsidRPr="00213B56">
        <w:rPr>
          <w:rFonts w:cs="Times New Roman"/>
          <w:sz w:val="24"/>
          <w:szCs w:val="24"/>
        </w:rPr>
        <w:t xml:space="preserve"> a result of the rapidly increasing population (</w:t>
      </w:r>
      <w:r w:rsidR="00D54BB0" w:rsidRPr="00213B56">
        <w:rPr>
          <w:rFonts w:cs="Times New Roman"/>
          <w:sz w:val="24"/>
          <w:szCs w:val="24"/>
        </w:rPr>
        <w:t xml:space="preserve">average annual </w:t>
      </w:r>
      <w:r w:rsidR="009D0007" w:rsidRPr="00213B56">
        <w:rPr>
          <w:rFonts w:cs="Times New Roman"/>
          <w:sz w:val="24"/>
          <w:szCs w:val="24"/>
        </w:rPr>
        <w:t xml:space="preserve">growth rate of </w:t>
      </w:r>
      <w:r w:rsidR="00D54BB0" w:rsidRPr="00213B56">
        <w:rPr>
          <w:rFonts w:cs="Times New Roman"/>
          <w:sz w:val="24"/>
          <w:szCs w:val="24"/>
        </w:rPr>
        <w:t>7.1 %</w:t>
      </w:r>
      <w:r w:rsidR="009D0007" w:rsidRPr="00213B56">
        <w:rPr>
          <w:rFonts w:cs="Times New Roman"/>
          <w:sz w:val="24"/>
          <w:szCs w:val="24"/>
        </w:rPr>
        <w:t>)</w:t>
      </w:r>
      <w:r w:rsidR="006D0CDA" w:rsidRPr="00213B56">
        <w:rPr>
          <w:rFonts w:cs="Times New Roman"/>
          <w:sz w:val="24"/>
          <w:szCs w:val="24"/>
        </w:rPr>
        <w:t xml:space="preserve"> (CIO, 2011; CIO, 2012)</w:t>
      </w:r>
      <w:r w:rsidR="009D0007" w:rsidRPr="00213B56">
        <w:rPr>
          <w:rFonts w:cs="Times New Roman"/>
          <w:sz w:val="24"/>
          <w:szCs w:val="24"/>
        </w:rPr>
        <w:t xml:space="preserve"> and Gross Domestic Product (GDP) (</w:t>
      </w:r>
      <w:r w:rsidR="00D54BB0" w:rsidRPr="00213B56">
        <w:rPr>
          <w:rFonts w:cs="Times New Roman"/>
          <w:sz w:val="24"/>
          <w:szCs w:val="24"/>
        </w:rPr>
        <w:t xml:space="preserve">average annual growth rate of </w:t>
      </w:r>
      <w:r w:rsidR="009D0007" w:rsidRPr="00213B56">
        <w:rPr>
          <w:rFonts w:cs="Times New Roman"/>
          <w:sz w:val="24"/>
          <w:szCs w:val="24"/>
        </w:rPr>
        <w:t xml:space="preserve">6%) </w:t>
      </w:r>
      <w:r w:rsidR="006D0CDA" w:rsidRPr="00213B56">
        <w:rPr>
          <w:rFonts w:cs="Times New Roman"/>
          <w:sz w:val="24"/>
          <w:szCs w:val="24"/>
        </w:rPr>
        <w:t xml:space="preserve">(MOF, 2011) </w:t>
      </w:r>
      <w:r w:rsidR="00A91BE0" w:rsidRPr="00213B56">
        <w:rPr>
          <w:rFonts w:cs="Times New Roman"/>
          <w:sz w:val="24"/>
          <w:szCs w:val="24"/>
        </w:rPr>
        <w:t xml:space="preserve">between </w:t>
      </w:r>
      <w:r w:rsidR="009D0007" w:rsidRPr="00213B56">
        <w:rPr>
          <w:rFonts w:cs="Times New Roman"/>
          <w:sz w:val="24"/>
          <w:szCs w:val="24"/>
        </w:rPr>
        <w:t>2000</w:t>
      </w:r>
      <w:r w:rsidR="00277C2F" w:rsidRPr="00213B56">
        <w:rPr>
          <w:rFonts w:cs="Times New Roman"/>
          <w:sz w:val="24"/>
          <w:szCs w:val="24"/>
        </w:rPr>
        <w:t xml:space="preserve"> </w:t>
      </w:r>
      <w:r w:rsidR="00A91BE0" w:rsidRPr="00213B56">
        <w:rPr>
          <w:rFonts w:cs="Times New Roman"/>
          <w:sz w:val="24"/>
          <w:szCs w:val="24"/>
        </w:rPr>
        <w:t>and</w:t>
      </w:r>
      <w:r w:rsidR="009D0007" w:rsidRPr="00213B56">
        <w:rPr>
          <w:rFonts w:cs="Times New Roman"/>
          <w:sz w:val="24"/>
          <w:szCs w:val="24"/>
        </w:rPr>
        <w:t xml:space="preserve"> 2010. </w:t>
      </w:r>
      <w:r w:rsidR="00784E68">
        <w:fldChar w:fldCharType="begin"/>
      </w:r>
      <w:r w:rsidR="00784E68">
        <w:instrText xml:space="preserve"> REF _Ref361486713 \h  \* MERGEFORMAT </w:instrText>
      </w:r>
      <w:r w:rsidR="00784E68">
        <w:fldChar w:fldCharType="separate"/>
      </w:r>
      <w:r w:rsidR="00751D45" w:rsidRPr="00213B56">
        <w:rPr>
          <w:rFonts w:cs="Times New Roman"/>
          <w:sz w:val="24"/>
          <w:szCs w:val="24"/>
        </w:rPr>
        <w:t>Figure 1</w:t>
      </w:r>
      <w:r w:rsidR="00784E68">
        <w:fldChar w:fldCharType="end"/>
      </w:r>
      <w:r w:rsidR="00613EDD" w:rsidRPr="00213B56">
        <w:rPr>
          <w:rFonts w:cs="Times New Roman"/>
          <w:sz w:val="24"/>
          <w:szCs w:val="24"/>
        </w:rPr>
        <w:t xml:space="preserve"> provides a significant, positive and very strong correlation</w:t>
      </w:r>
      <w:r w:rsidR="00613EDD" w:rsidRPr="00213B56">
        <w:rPr>
          <w:rStyle w:val="FootnoteReference"/>
          <w:rFonts w:cs="Times New Roman"/>
          <w:sz w:val="24"/>
          <w:szCs w:val="24"/>
        </w:rPr>
        <w:footnoteReference w:id="2"/>
      </w:r>
      <w:r w:rsidR="00613EDD" w:rsidRPr="00213B56">
        <w:rPr>
          <w:rFonts w:cs="Times New Roman"/>
          <w:sz w:val="24"/>
          <w:szCs w:val="24"/>
        </w:rPr>
        <w:t xml:space="preserve"> between the passenger vehicle number, the population size (R</w:t>
      </w:r>
      <w:r w:rsidR="00613EDD" w:rsidRPr="00213B56">
        <w:rPr>
          <w:rFonts w:cs="Times New Roman"/>
          <w:sz w:val="24"/>
          <w:szCs w:val="24"/>
          <w:vertAlign w:val="superscript"/>
        </w:rPr>
        <w:t>2</w:t>
      </w:r>
      <w:r w:rsidR="00613EDD" w:rsidRPr="00213B56">
        <w:rPr>
          <w:rFonts w:cs="Times New Roman"/>
          <w:sz w:val="24"/>
          <w:szCs w:val="24"/>
        </w:rPr>
        <w:t>=0.99) and the real GDP (R</w:t>
      </w:r>
      <w:r w:rsidR="00613EDD" w:rsidRPr="00213B56">
        <w:rPr>
          <w:rFonts w:cs="Times New Roman"/>
          <w:sz w:val="24"/>
          <w:szCs w:val="24"/>
          <w:vertAlign w:val="superscript"/>
        </w:rPr>
        <w:t>2</w:t>
      </w:r>
      <w:r w:rsidR="00613EDD" w:rsidRPr="00213B56">
        <w:rPr>
          <w:rFonts w:cs="Times New Roman"/>
          <w:sz w:val="24"/>
          <w:szCs w:val="24"/>
        </w:rPr>
        <w:t>=0.94) in Bahrain during the period between 2000 and 2010.</w:t>
      </w:r>
    </w:p>
    <w:p w:rsidR="00613EDD" w:rsidRPr="00751D45" w:rsidRDefault="00613EDD" w:rsidP="00613EDD">
      <w:pPr>
        <w:spacing w:after="0" w:line="240" w:lineRule="auto"/>
        <w:jc w:val="both"/>
        <w:rPr>
          <w:rFonts w:cs="Times New Roman"/>
          <w:sz w:val="24"/>
          <w:szCs w:val="24"/>
        </w:rPr>
      </w:pPr>
    </w:p>
    <w:p w:rsidR="00613EDD" w:rsidRPr="00751D45" w:rsidRDefault="00F103FF" w:rsidP="00613EDD">
      <w:pPr>
        <w:spacing w:after="0" w:line="240" w:lineRule="auto"/>
        <w:jc w:val="both"/>
        <w:rPr>
          <w:rFonts w:cs="Times New Roman"/>
          <w:sz w:val="24"/>
          <w:szCs w:val="24"/>
        </w:rPr>
      </w:pPr>
      <w:r>
        <w:rPr>
          <w:rFonts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2317750</wp:posOffset>
                </wp:positionH>
                <wp:positionV relativeFrom="paragraph">
                  <wp:posOffset>1245235</wp:posOffset>
                </wp:positionV>
                <wp:extent cx="445770" cy="219075"/>
                <wp:effectExtent l="0" t="0" r="0" b="9525"/>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0BF" w:rsidRPr="00A75BB0" w:rsidRDefault="00BF10BF" w:rsidP="00613EDD">
                            <w:pPr>
                              <w:jc w:val="center"/>
                              <w:rPr>
                                <w:b/>
                                <w:bCs/>
                                <w:sz w:val="16"/>
                                <w:szCs w:val="16"/>
                              </w:rPr>
                            </w:pPr>
                            <w:r w:rsidRPr="00A75BB0">
                              <w:rPr>
                                <w:b/>
                                <w:bCs/>
                                <w:sz w:val="16"/>
                                <w:szCs w:val="16"/>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182.5pt;margin-top:98.05pt;width:35.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" filled="f" stroked="f">
                <v:textbox>
                  <w:txbxContent>
                    <w:p w:rsidR="00BF10BF" w:rsidRPr="00A75BB0" w:rsidRDefault="00BF10BF" w:rsidP="00613EDD">
                      <w:pPr>
                        <w:jc w:val="center"/>
                        <w:rPr>
                          <w:b/>
                          <w:bCs/>
                          <w:sz w:val="16"/>
                          <w:szCs w:val="16"/>
                        </w:rPr>
                      </w:pPr>
                      <w:r w:rsidRPr="00A75BB0">
                        <w:rPr>
                          <w:b/>
                          <w:bCs/>
                          <w:sz w:val="16"/>
                          <w:szCs w:val="16"/>
                        </w:rPr>
                        <w:t>2000</w:t>
                      </w:r>
                    </w:p>
                  </w:txbxContent>
                </v:textbox>
              </v:rect>
            </w:pict>
          </mc:Fallback>
        </mc:AlternateContent>
      </w:r>
      <w:r>
        <w:rPr>
          <w:rFonts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4236720</wp:posOffset>
                </wp:positionH>
                <wp:positionV relativeFrom="paragraph">
                  <wp:posOffset>29210</wp:posOffset>
                </wp:positionV>
                <wp:extent cx="445770" cy="219075"/>
                <wp:effectExtent l="0" t="0" r="0" b="9525"/>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0BF" w:rsidRPr="00A75BB0" w:rsidRDefault="00BF10BF" w:rsidP="00613EDD">
                            <w:pPr>
                              <w:jc w:val="center"/>
                              <w:rPr>
                                <w:b/>
                                <w:bCs/>
                                <w:sz w:val="16"/>
                                <w:szCs w:val="16"/>
                              </w:rPr>
                            </w:pPr>
                            <w:r w:rsidRPr="00A75BB0">
                              <w:rPr>
                                <w:b/>
                                <w:bCs/>
                                <w:sz w:val="16"/>
                                <w:szCs w:val="16"/>
                              </w:rPr>
                              <w:t>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left:0;text-align:left;margin-left:333.6pt;margin-top:2.3pt;width:35.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" filled="f" stroked="f">
                <v:textbox>
                  <w:txbxContent>
                    <w:p w:rsidR="00BF10BF" w:rsidRPr="00A75BB0" w:rsidRDefault="00BF10BF" w:rsidP="00613EDD">
                      <w:pPr>
                        <w:jc w:val="center"/>
                        <w:rPr>
                          <w:b/>
                          <w:bCs/>
                          <w:sz w:val="16"/>
                          <w:szCs w:val="16"/>
                        </w:rPr>
                      </w:pPr>
                      <w:r w:rsidRPr="00A75BB0">
                        <w:rPr>
                          <w:b/>
                          <w:bCs/>
                          <w:sz w:val="16"/>
                          <w:szCs w:val="16"/>
                        </w:rPr>
                        <w:t>2010</w:t>
                      </w:r>
                    </w:p>
                  </w:txbxContent>
                </v:textbox>
              </v:rect>
            </w:pict>
          </mc:Fallback>
        </mc:AlternateContent>
      </w:r>
      <w:r w:rsidR="00613EDD" w:rsidRPr="00751D45">
        <w:rPr>
          <w:rFonts w:cs="Times New Roman"/>
          <w:b/>
          <w:bCs/>
          <w:noProof/>
          <w:sz w:val="24"/>
          <w:szCs w:val="24"/>
        </w:rPr>
        <w:drawing>
          <wp:inline distT="0" distB="0" distL="0" distR="0">
            <wp:extent cx="5934075" cy="2743200"/>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3EDD" w:rsidRPr="00751D45" w:rsidRDefault="00613EDD" w:rsidP="00EF34DF">
      <w:pPr>
        <w:keepNext/>
        <w:spacing w:after="0" w:line="240" w:lineRule="auto"/>
        <w:jc w:val="center"/>
        <w:rPr>
          <w:rFonts w:cs="Times New Roman"/>
          <w:b/>
          <w:bCs/>
          <w:sz w:val="20"/>
          <w:szCs w:val="20"/>
        </w:rPr>
      </w:pPr>
      <w:bookmarkStart w:id="3" w:name="_Ref361486713"/>
      <w:bookmarkStart w:id="4" w:name="_Toc377544463"/>
      <w:r w:rsidRPr="00751D45">
        <w:rPr>
          <w:rFonts w:cs="Times New Roman"/>
          <w:b/>
          <w:bCs/>
          <w:sz w:val="20"/>
          <w:szCs w:val="20"/>
        </w:rPr>
        <w:t xml:space="preserve">Figure </w:t>
      </w:r>
      <w:r w:rsidR="00EF653E" w:rsidRPr="00751D45">
        <w:rPr>
          <w:rFonts w:cs="Times New Roman"/>
          <w:b/>
          <w:bCs/>
          <w:sz w:val="20"/>
          <w:szCs w:val="20"/>
        </w:rPr>
        <w:fldChar w:fldCharType="begin"/>
      </w:r>
      <w:r w:rsidRPr="00751D45">
        <w:rPr>
          <w:rFonts w:cs="Times New Roman"/>
          <w:b/>
          <w:bCs/>
          <w:sz w:val="20"/>
          <w:szCs w:val="20"/>
        </w:rPr>
        <w:instrText xml:space="preserve"> SEQ Figure \* ARABIC </w:instrText>
      </w:r>
      <w:r w:rsidR="00EF653E" w:rsidRPr="00751D45">
        <w:rPr>
          <w:rFonts w:cs="Times New Roman"/>
          <w:b/>
          <w:bCs/>
          <w:sz w:val="20"/>
          <w:szCs w:val="20"/>
        </w:rPr>
        <w:fldChar w:fldCharType="separate"/>
      </w:r>
      <w:r w:rsidR="00751D45">
        <w:rPr>
          <w:rFonts w:cs="Times New Roman"/>
          <w:b/>
          <w:bCs/>
          <w:noProof/>
          <w:sz w:val="20"/>
          <w:szCs w:val="20"/>
        </w:rPr>
        <w:t>1</w:t>
      </w:r>
      <w:r w:rsidR="00EF653E" w:rsidRPr="00751D45">
        <w:rPr>
          <w:rFonts w:cs="Times New Roman"/>
          <w:b/>
          <w:bCs/>
          <w:sz w:val="20"/>
          <w:szCs w:val="20"/>
        </w:rPr>
        <w:fldChar w:fldCharType="end"/>
      </w:r>
      <w:bookmarkEnd w:id="3"/>
      <w:r w:rsidRPr="00751D45">
        <w:rPr>
          <w:rFonts w:cs="Times New Roman"/>
          <w:b/>
          <w:bCs/>
          <w:sz w:val="20"/>
          <w:szCs w:val="20"/>
        </w:rPr>
        <w:t>: Passenger vehicle number vs. population size and real GDP in Bahrain between</w:t>
      </w:r>
      <w:r w:rsidR="00EF34DF" w:rsidRPr="00751D45">
        <w:rPr>
          <w:rFonts w:cs="Times New Roman"/>
          <w:b/>
          <w:bCs/>
          <w:sz w:val="20"/>
          <w:szCs w:val="20"/>
        </w:rPr>
        <w:t xml:space="preserve"> </w:t>
      </w:r>
      <w:r w:rsidRPr="00751D45">
        <w:rPr>
          <w:rFonts w:cs="Times New Roman"/>
          <w:b/>
          <w:bCs/>
          <w:sz w:val="20"/>
          <w:szCs w:val="20"/>
        </w:rPr>
        <w:t>2000 and 2010</w:t>
      </w:r>
      <w:bookmarkEnd w:id="4"/>
    </w:p>
    <w:p w:rsidR="00613EDD" w:rsidRPr="00751D45" w:rsidRDefault="00613EDD" w:rsidP="00613EDD">
      <w:pPr>
        <w:spacing w:after="0" w:line="240" w:lineRule="auto"/>
        <w:jc w:val="center"/>
        <w:rPr>
          <w:rFonts w:cs="Times New Roman"/>
          <w:sz w:val="20"/>
          <w:szCs w:val="20"/>
        </w:rPr>
      </w:pPr>
      <w:r w:rsidRPr="00751D45">
        <w:rPr>
          <w:rFonts w:cs="Times New Roman"/>
          <w:sz w:val="20"/>
          <w:szCs w:val="20"/>
        </w:rPr>
        <w:t>Source: CIO, 2011; CIO, 2012; MOF, 2011</w:t>
      </w:r>
    </w:p>
    <w:p w:rsidR="003A61EB" w:rsidRPr="00751D45" w:rsidRDefault="003A61EB" w:rsidP="00A91BE0">
      <w:pPr>
        <w:spacing w:after="0" w:line="240" w:lineRule="auto"/>
        <w:jc w:val="both"/>
        <w:rPr>
          <w:rFonts w:cs="Times New Roman"/>
          <w:sz w:val="24"/>
          <w:szCs w:val="24"/>
        </w:rPr>
      </w:pPr>
    </w:p>
    <w:p w:rsidR="0069058F" w:rsidRPr="00213B56" w:rsidRDefault="0069058F" w:rsidP="00A91BE0">
      <w:pPr>
        <w:spacing w:after="0" w:line="240" w:lineRule="auto"/>
        <w:jc w:val="both"/>
        <w:rPr>
          <w:rFonts w:cs="Times New Roman"/>
          <w:sz w:val="24"/>
          <w:szCs w:val="24"/>
        </w:rPr>
      </w:pPr>
      <w:r w:rsidRPr="00213B56">
        <w:rPr>
          <w:rFonts w:cs="Times New Roman"/>
          <w:sz w:val="24"/>
          <w:szCs w:val="24"/>
        </w:rPr>
        <w:t xml:space="preserve">Despite the upward trend in </w:t>
      </w:r>
      <w:r w:rsidR="00851573" w:rsidRPr="00213B56">
        <w:rPr>
          <w:rFonts w:cs="Times New Roman"/>
          <w:sz w:val="24"/>
          <w:szCs w:val="24"/>
        </w:rPr>
        <w:t>vehicle ownership (366</w:t>
      </w:r>
      <w:r w:rsidRPr="00213B56">
        <w:rPr>
          <w:rFonts w:cs="Times New Roman"/>
          <w:sz w:val="24"/>
          <w:szCs w:val="24"/>
        </w:rPr>
        <w:t xml:space="preserve"> vehicles per 1000 population</w:t>
      </w:r>
      <w:r w:rsidR="00851573" w:rsidRPr="00213B56">
        <w:rPr>
          <w:rFonts w:cs="Times New Roman"/>
          <w:sz w:val="24"/>
          <w:szCs w:val="24"/>
        </w:rPr>
        <w:t xml:space="preserve"> in 2010</w:t>
      </w:r>
      <w:r w:rsidRPr="00213B56">
        <w:rPr>
          <w:rFonts w:cs="Times New Roman"/>
          <w:sz w:val="24"/>
          <w:szCs w:val="24"/>
        </w:rPr>
        <w:t xml:space="preserve">), this is relatively low when comparing this statistic to that in countries worldwide (e.g. Australia </w:t>
      </w:r>
      <w:r w:rsidR="00B60ED9" w:rsidRPr="00213B56">
        <w:rPr>
          <w:rFonts w:cs="Times New Roman"/>
          <w:sz w:val="24"/>
          <w:szCs w:val="24"/>
        </w:rPr>
        <w:t>688</w:t>
      </w:r>
      <w:r w:rsidRPr="00213B56">
        <w:rPr>
          <w:rFonts w:cs="Times New Roman"/>
          <w:sz w:val="24"/>
          <w:szCs w:val="24"/>
        </w:rPr>
        <w:t xml:space="preserve">, UK </w:t>
      </w:r>
      <w:r w:rsidR="00B60ED9" w:rsidRPr="00213B56">
        <w:rPr>
          <w:rFonts w:cs="Times New Roman"/>
          <w:sz w:val="24"/>
          <w:szCs w:val="24"/>
        </w:rPr>
        <w:t>523</w:t>
      </w:r>
      <w:r w:rsidRPr="00213B56">
        <w:rPr>
          <w:rFonts w:cs="Times New Roman"/>
          <w:sz w:val="24"/>
          <w:szCs w:val="24"/>
        </w:rPr>
        <w:t xml:space="preserve">, USA </w:t>
      </w:r>
      <w:r w:rsidR="00B60ED9" w:rsidRPr="00213B56">
        <w:rPr>
          <w:rFonts w:cs="Times New Roman"/>
          <w:sz w:val="24"/>
          <w:szCs w:val="24"/>
        </w:rPr>
        <w:t>802</w:t>
      </w:r>
      <w:r w:rsidRPr="00213B56">
        <w:rPr>
          <w:rFonts w:cs="Times New Roman"/>
          <w:sz w:val="24"/>
          <w:szCs w:val="24"/>
        </w:rPr>
        <w:t xml:space="preserve"> vehicles per 1000 population). However, this trend in Bahrain is higher than that of some </w:t>
      </w:r>
      <w:r w:rsidR="00851573" w:rsidRPr="00213B56">
        <w:rPr>
          <w:rFonts w:cs="Times New Roman"/>
          <w:sz w:val="24"/>
          <w:szCs w:val="24"/>
        </w:rPr>
        <w:t>neighboring</w:t>
      </w:r>
      <w:r w:rsidRPr="00213B56">
        <w:rPr>
          <w:rFonts w:cs="Times New Roman"/>
          <w:sz w:val="24"/>
          <w:szCs w:val="24"/>
        </w:rPr>
        <w:t xml:space="preserve"> countries (e.g. Saudi Arabia 1</w:t>
      </w:r>
      <w:r w:rsidR="00B60ED9" w:rsidRPr="00213B56">
        <w:rPr>
          <w:rFonts w:cs="Times New Roman"/>
          <w:sz w:val="24"/>
          <w:szCs w:val="24"/>
        </w:rPr>
        <w:t>92</w:t>
      </w:r>
      <w:r w:rsidRPr="00213B56">
        <w:rPr>
          <w:rFonts w:cs="Times New Roman"/>
          <w:sz w:val="24"/>
          <w:szCs w:val="24"/>
        </w:rPr>
        <w:t xml:space="preserve">, and Oman </w:t>
      </w:r>
      <w:r w:rsidR="00B60ED9" w:rsidRPr="00213B56">
        <w:rPr>
          <w:rFonts w:cs="Times New Roman"/>
          <w:sz w:val="24"/>
          <w:szCs w:val="24"/>
        </w:rPr>
        <w:t>215</w:t>
      </w:r>
      <w:r w:rsidRPr="00213B56">
        <w:rPr>
          <w:rFonts w:cs="Times New Roman"/>
          <w:sz w:val="24"/>
          <w:szCs w:val="24"/>
        </w:rPr>
        <w:t xml:space="preserve"> vehicles per 1000 population)</w:t>
      </w:r>
      <w:r w:rsidR="00B60ED9" w:rsidRPr="00213B56">
        <w:rPr>
          <w:rFonts w:cs="Times New Roman"/>
          <w:sz w:val="24"/>
          <w:szCs w:val="24"/>
        </w:rPr>
        <w:t xml:space="preserve"> (IRF, 2011)</w:t>
      </w:r>
      <w:r w:rsidRPr="00213B56">
        <w:rPr>
          <w:rFonts w:cs="Times New Roman"/>
          <w:sz w:val="24"/>
          <w:szCs w:val="24"/>
        </w:rPr>
        <w:t>.</w:t>
      </w:r>
    </w:p>
    <w:p w:rsidR="0069058F" w:rsidRPr="00213B56" w:rsidRDefault="0069058F" w:rsidP="0069058F">
      <w:pPr>
        <w:spacing w:after="0" w:line="240" w:lineRule="auto"/>
        <w:jc w:val="both"/>
        <w:rPr>
          <w:rFonts w:cs="Times New Roman"/>
          <w:sz w:val="24"/>
          <w:szCs w:val="24"/>
        </w:rPr>
      </w:pPr>
    </w:p>
    <w:p w:rsidR="00585B42" w:rsidRPr="00213B56" w:rsidRDefault="00585B42" w:rsidP="0043577C">
      <w:pPr>
        <w:spacing w:after="0" w:line="240" w:lineRule="auto"/>
        <w:jc w:val="both"/>
        <w:rPr>
          <w:rFonts w:cs="Times New Roman"/>
          <w:sz w:val="24"/>
          <w:szCs w:val="24"/>
        </w:rPr>
      </w:pPr>
      <w:r w:rsidRPr="00213B56">
        <w:rPr>
          <w:rFonts w:cs="Times New Roman"/>
          <w:sz w:val="24"/>
          <w:szCs w:val="24"/>
        </w:rPr>
        <w:t>Vehicles in Bahrain rely heavily on gasoline. In 2010, more than 93% of the total vehicles have gasoline engines whilst the remaining percentage uses diesel. Therefore, gasoline usage has experienced an increase in local consumption with an average annual growth rate of 5.7% during the last decade</w:t>
      </w:r>
      <w:r w:rsidR="0043577C" w:rsidRPr="00213B56">
        <w:rPr>
          <w:rFonts w:cs="Times New Roman"/>
          <w:sz w:val="24"/>
          <w:szCs w:val="24"/>
        </w:rPr>
        <w:t xml:space="preserve"> (</w:t>
      </w:r>
      <w:r w:rsidR="00784E68">
        <w:fldChar w:fldCharType="begin"/>
      </w:r>
      <w:r w:rsidR="00784E68">
        <w:instrText xml:space="preserve"> REF _Ref376248586 \h  \* MERGEFORMAT </w:instrText>
      </w:r>
      <w:r w:rsidR="00784E68">
        <w:fldChar w:fldCharType="separate"/>
      </w:r>
      <w:r w:rsidR="00751D45" w:rsidRPr="00213B56">
        <w:rPr>
          <w:sz w:val="24"/>
          <w:szCs w:val="24"/>
        </w:rPr>
        <w:t>Figure 2</w:t>
      </w:r>
      <w:r w:rsidR="00784E68">
        <w:fldChar w:fldCharType="end"/>
      </w:r>
      <w:r w:rsidR="0043577C" w:rsidRPr="00213B56">
        <w:rPr>
          <w:rFonts w:cs="Times New Roman"/>
          <w:sz w:val="24"/>
          <w:szCs w:val="24"/>
        </w:rPr>
        <w:t>)</w:t>
      </w:r>
      <w:r w:rsidRPr="00213B56">
        <w:rPr>
          <w:rFonts w:cs="Times New Roman"/>
          <w:sz w:val="24"/>
          <w:szCs w:val="24"/>
        </w:rPr>
        <w:t xml:space="preserve">. This increase was a result of the dramatic increase in the number of passenger vehicles, as shown in </w:t>
      </w:r>
      <w:r w:rsidR="00784E68">
        <w:fldChar w:fldCharType="begin"/>
      </w:r>
      <w:r w:rsidR="00784E68">
        <w:instrText xml:space="preserve"> REF _Ref376248613 \h  \* MERGEFORMAT </w:instrText>
      </w:r>
      <w:r w:rsidR="00784E68">
        <w:fldChar w:fldCharType="separate"/>
      </w:r>
      <w:r w:rsidR="00751D45" w:rsidRPr="00213B56">
        <w:rPr>
          <w:sz w:val="24"/>
          <w:szCs w:val="24"/>
        </w:rPr>
        <w:t>Figure 3</w:t>
      </w:r>
      <w:r w:rsidR="00784E68">
        <w:fldChar w:fldCharType="end"/>
      </w:r>
      <w:r w:rsidR="0043577C" w:rsidRPr="00213B56">
        <w:rPr>
          <w:rFonts w:cs="Times New Roman"/>
          <w:sz w:val="24"/>
          <w:szCs w:val="24"/>
        </w:rPr>
        <w:t xml:space="preserve"> </w:t>
      </w:r>
      <w:r w:rsidRPr="00213B56">
        <w:rPr>
          <w:rFonts w:cs="Times New Roman"/>
          <w:sz w:val="24"/>
          <w:szCs w:val="24"/>
        </w:rPr>
        <w:t>(CIO, 2012).</w:t>
      </w:r>
    </w:p>
    <w:p w:rsidR="0043577C" w:rsidRPr="00751D45" w:rsidRDefault="0043577C" w:rsidP="00585B42">
      <w:pPr>
        <w:spacing w:after="0" w:line="240" w:lineRule="auto"/>
        <w:jc w:val="both"/>
        <w:rPr>
          <w:rFonts w:cs="Times New Roman"/>
          <w:sz w:val="24"/>
          <w:szCs w:val="24"/>
        </w:rPr>
      </w:pPr>
    </w:p>
    <w:p w:rsidR="0043577C" w:rsidRPr="00751D45" w:rsidRDefault="0043577C" w:rsidP="0043577C">
      <w:pPr>
        <w:keepNext/>
        <w:spacing w:after="0" w:line="240" w:lineRule="auto"/>
        <w:jc w:val="both"/>
      </w:pPr>
      <w:r w:rsidRPr="00751D45">
        <w:rPr>
          <w:rFonts w:cs="Times New Roman"/>
          <w:noProof/>
          <w:sz w:val="24"/>
          <w:szCs w:val="24"/>
        </w:rPr>
        <w:lastRenderedPageBreak/>
        <w:drawing>
          <wp:inline distT="0" distB="0" distL="0" distR="0">
            <wp:extent cx="5943600" cy="2192400"/>
            <wp:effectExtent l="19050" t="0" r="19050" b="0"/>
            <wp:docPr id="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577C" w:rsidRPr="00751D45" w:rsidRDefault="0043577C" w:rsidP="0043577C">
      <w:pPr>
        <w:pStyle w:val="Caption"/>
        <w:spacing w:after="0"/>
        <w:jc w:val="center"/>
        <w:rPr>
          <w:rFonts w:cs="Times New Roman"/>
          <w:color w:val="auto"/>
          <w:sz w:val="20"/>
          <w:szCs w:val="20"/>
        </w:rPr>
      </w:pPr>
      <w:bookmarkStart w:id="5" w:name="_Ref376248586"/>
      <w:bookmarkStart w:id="6" w:name="_Toc377544464"/>
      <w:r w:rsidRPr="00751D45">
        <w:rPr>
          <w:color w:val="auto"/>
          <w:sz w:val="20"/>
          <w:szCs w:val="20"/>
        </w:rPr>
        <w:t xml:space="preserve">Figure </w:t>
      </w:r>
      <w:r w:rsidR="00EF653E" w:rsidRPr="00751D45">
        <w:rPr>
          <w:color w:val="auto"/>
          <w:sz w:val="20"/>
          <w:szCs w:val="20"/>
        </w:rPr>
        <w:fldChar w:fldCharType="begin"/>
      </w:r>
      <w:r w:rsidRPr="00751D45">
        <w:rPr>
          <w:color w:val="auto"/>
          <w:sz w:val="20"/>
          <w:szCs w:val="20"/>
        </w:rPr>
        <w:instrText xml:space="preserve"> SEQ Figure \* ARABIC </w:instrText>
      </w:r>
      <w:r w:rsidR="00EF653E" w:rsidRPr="00751D45">
        <w:rPr>
          <w:color w:val="auto"/>
          <w:sz w:val="20"/>
          <w:szCs w:val="20"/>
        </w:rPr>
        <w:fldChar w:fldCharType="separate"/>
      </w:r>
      <w:r w:rsidR="00751D45">
        <w:rPr>
          <w:noProof/>
          <w:color w:val="auto"/>
          <w:sz w:val="20"/>
          <w:szCs w:val="20"/>
        </w:rPr>
        <w:t>2</w:t>
      </w:r>
      <w:r w:rsidR="00EF653E" w:rsidRPr="00751D45">
        <w:rPr>
          <w:color w:val="auto"/>
          <w:sz w:val="20"/>
          <w:szCs w:val="20"/>
        </w:rPr>
        <w:fldChar w:fldCharType="end"/>
      </w:r>
      <w:bookmarkEnd w:id="5"/>
      <w:r w:rsidRPr="00751D45">
        <w:rPr>
          <w:color w:val="auto"/>
          <w:sz w:val="20"/>
          <w:szCs w:val="20"/>
          <w:lang w:val="en-GB"/>
        </w:rPr>
        <w:t>: Gasoline consumption in Bahrain between 2000 and 2010 (TJ)</w:t>
      </w:r>
      <w:bookmarkEnd w:id="6"/>
    </w:p>
    <w:p w:rsidR="0043577C" w:rsidRPr="00751D45" w:rsidRDefault="0043577C" w:rsidP="0043577C">
      <w:pPr>
        <w:spacing w:after="0" w:line="240" w:lineRule="auto"/>
        <w:jc w:val="center"/>
        <w:rPr>
          <w:rFonts w:cs="Times New Roman"/>
          <w:sz w:val="20"/>
          <w:szCs w:val="20"/>
        </w:rPr>
      </w:pPr>
      <w:r w:rsidRPr="00751D45">
        <w:rPr>
          <w:rFonts w:cs="Times New Roman"/>
          <w:sz w:val="20"/>
          <w:szCs w:val="20"/>
        </w:rPr>
        <w:t>Source: BAPCO, 2010</w:t>
      </w:r>
    </w:p>
    <w:p w:rsidR="0043577C" w:rsidRPr="00751D45" w:rsidRDefault="0043577C" w:rsidP="00585B42">
      <w:pPr>
        <w:spacing w:after="0" w:line="240" w:lineRule="auto"/>
        <w:jc w:val="both"/>
        <w:rPr>
          <w:rFonts w:cs="Times New Roman"/>
          <w:sz w:val="24"/>
          <w:szCs w:val="24"/>
        </w:rPr>
      </w:pPr>
    </w:p>
    <w:p w:rsidR="0043577C" w:rsidRPr="00751D45" w:rsidRDefault="0043577C" w:rsidP="0043577C">
      <w:pPr>
        <w:keepNext/>
        <w:spacing w:after="0" w:line="240" w:lineRule="auto"/>
        <w:jc w:val="both"/>
      </w:pPr>
      <w:r w:rsidRPr="00751D45">
        <w:rPr>
          <w:rFonts w:cs="Times New Roman"/>
          <w:noProof/>
          <w:sz w:val="24"/>
          <w:szCs w:val="24"/>
        </w:rPr>
        <w:drawing>
          <wp:inline distT="0" distB="0" distL="0" distR="0">
            <wp:extent cx="5943600" cy="2190750"/>
            <wp:effectExtent l="19050" t="0" r="19050"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577C" w:rsidRPr="00751D45" w:rsidRDefault="0043577C" w:rsidP="0043577C">
      <w:pPr>
        <w:pStyle w:val="Caption"/>
        <w:spacing w:after="0"/>
        <w:jc w:val="center"/>
        <w:rPr>
          <w:rFonts w:cs="Times New Roman"/>
          <w:color w:val="auto"/>
          <w:sz w:val="20"/>
          <w:szCs w:val="20"/>
        </w:rPr>
      </w:pPr>
      <w:bookmarkStart w:id="7" w:name="_Ref376248613"/>
      <w:bookmarkStart w:id="8" w:name="_Toc377544465"/>
      <w:r w:rsidRPr="00751D45">
        <w:rPr>
          <w:color w:val="auto"/>
          <w:sz w:val="20"/>
          <w:szCs w:val="20"/>
        </w:rPr>
        <w:t xml:space="preserve">Figure </w:t>
      </w:r>
      <w:r w:rsidR="00EF653E" w:rsidRPr="00751D45">
        <w:rPr>
          <w:color w:val="auto"/>
          <w:sz w:val="20"/>
          <w:szCs w:val="20"/>
        </w:rPr>
        <w:fldChar w:fldCharType="begin"/>
      </w:r>
      <w:r w:rsidRPr="00751D45">
        <w:rPr>
          <w:color w:val="auto"/>
          <w:sz w:val="20"/>
          <w:szCs w:val="20"/>
        </w:rPr>
        <w:instrText xml:space="preserve"> SEQ Figure \* ARABIC </w:instrText>
      </w:r>
      <w:r w:rsidR="00EF653E" w:rsidRPr="00751D45">
        <w:rPr>
          <w:color w:val="auto"/>
          <w:sz w:val="20"/>
          <w:szCs w:val="20"/>
        </w:rPr>
        <w:fldChar w:fldCharType="separate"/>
      </w:r>
      <w:r w:rsidR="00751D45">
        <w:rPr>
          <w:noProof/>
          <w:color w:val="auto"/>
          <w:sz w:val="20"/>
          <w:szCs w:val="20"/>
        </w:rPr>
        <w:t>3</w:t>
      </w:r>
      <w:r w:rsidR="00EF653E" w:rsidRPr="00751D45">
        <w:rPr>
          <w:color w:val="auto"/>
          <w:sz w:val="20"/>
          <w:szCs w:val="20"/>
        </w:rPr>
        <w:fldChar w:fldCharType="end"/>
      </w:r>
      <w:bookmarkEnd w:id="7"/>
      <w:r w:rsidRPr="00751D45">
        <w:rPr>
          <w:color w:val="auto"/>
          <w:sz w:val="20"/>
          <w:szCs w:val="20"/>
          <w:lang w:val="en-GB"/>
        </w:rPr>
        <w:t>: Total number of registered vehicles in Bahrain between 2000 and 2012</w:t>
      </w:r>
      <w:bookmarkEnd w:id="8"/>
    </w:p>
    <w:p w:rsidR="0043577C" w:rsidRPr="00751D45" w:rsidRDefault="0043577C" w:rsidP="0043577C">
      <w:pPr>
        <w:spacing w:after="0" w:line="240" w:lineRule="auto"/>
        <w:jc w:val="center"/>
        <w:rPr>
          <w:rFonts w:cs="Times New Roman"/>
          <w:sz w:val="20"/>
          <w:szCs w:val="20"/>
        </w:rPr>
      </w:pPr>
      <w:r w:rsidRPr="00751D45">
        <w:rPr>
          <w:rFonts w:cs="Times New Roman"/>
          <w:sz w:val="20"/>
          <w:szCs w:val="20"/>
        </w:rPr>
        <w:t>Source: General Directorate of Traffic, 2012</w:t>
      </w:r>
    </w:p>
    <w:p w:rsidR="0043577C" w:rsidRPr="00751D45" w:rsidRDefault="0043577C" w:rsidP="00585B42">
      <w:pPr>
        <w:spacing w:after="0" w:line="240" w:lineRule="auto"/>
        <w:jc w:val="both"/>
        <w:rPr>
          <w:rFonts w:cs="Times New Roman"/>
          <w:sz w:val="24"/>
          <w:szCs w:val="24"/>
        </w:rPr>
      </w:pPr>
    </w:p>
    <w:p w:rsidR="00585B42" w:rsidRPr="00213B56" w:rsidRDefault="00585B42" w:rsidP="008F1013">
      <w:pPr>
        <w:spacing w:after="0" w:line="240" w:lineRule="auto"/>
        <w:jc w:val="both"/>
        <w:rPr>
          <w:rFonts w:cs="Times New Roman"/>
          <w:sz w:val="24"/>
          <w:szCs w:val="24"/>
        </w:rPr>
      </w:pPr>
      <w:r w:rsidRPr="00213B56">
        <w:rPr>
          <w:rFonts w:cs="Times New Roman"/>
          <w:sz w:val="24"/>
          <w:szCs w:val="24"/>
        </w:rPr>
        <w:t>The nearly complete reliance on gasoline has resulted in an average annual increase of 5.5</w:t>
      </w:r>
      <w:r w:rsidR="00504FE8" w:rsidRPr="00213B56">
        <w:rPr>
          <w:rFonts w:cs="Times New Roman"/>
          <w:sz w:val="24"/>
          <w:szCs w:val="24"/>
        </w:rPr>
        <w:t xml:space="preserve"> </w:t>
      </w:r>
      <w:r w:rsidRPr="00213B56">
        <w:rPr>
          <w:rFonts w:cs="Times New Roman"/>
          <w:sz w:val="24"/>
          <w:szCs w:val="24"/>
        </w:rPr>
        <w:t>% in CO</w:t>
      </w:r>
      <w:r w:rsidRPr="00213B56">
        <w:rPr>
          <w:rFonts w:cs="Times New Roman"/>
          <w:sz w:val="24"/>
          <w:szCs w:val="24"/>
          <w:vertAlign w:val="subscript"/>
        </w:rPr>
        <w:t>2</w:t>
      </w:r>
      <w:r w:rsidRPr="00213B56">
        <w:rPr>
          <w:rFonts w:cs="Times New Roman"/>
          <w:sz w:val="24"/>
          <w:szCs w:val="24"/>
        </w:rPr>
        <w:t xml:space="preserve"> emissions between 2000 and 2010 </w:t>
      </w:r>
      <w:r w:rsidR="00550DE9" w:rsidRPr="00213B56">
        <w:rPr>
          <w:rFonts w:cs="Times New Roman"/>
          <w:sz w:val="24"/>
          <w:szCs w:val="24"/>
        </w:rPr>
        <w:t>(</w:t>
      </w:r>
      <w:r w:rsidR="00784E68">
        <w:fldChar w:fldCharType="begin"/>
      </w:r>
      <w:r w:rsidR="00784E68">
        <w:instrText xml:space="preserve"> REF _Ref376176408 \h  \* MERGEFORMAT </w:instrText>
      </w:r>
      <w:r w:rsidR="00784E68">
        <w:fldChar w:fldCharType="separate"/>
      </w:r>
      <w:r w:rsidR="00751D45" w:rsidRPr="00213B56">
        <w:rPr>
          <w:sz w:val="24"/>
          <w:szCs w:val="24"/>
        </w:rPr>
        <w:t>Figure 4</w:t>
      </w:r>
      <w:r w:rsidR="00784E68">
        <w:fldChar w:fldCharType="end"/>
      </w:r>
      <w:r w:rsidR="00550DE9" w:rsidRPr="00213B56">
        <w:rPr>
          <w:rFonts w:cs="Times New Roman"/>
          <w:sz w:val="24"/>
          <w:szCs w:val="24"/>
        </w:rPr>
        <w:t xml:space="preserve">) </w:t>
      </w:r>
      <w:r w:rsidRPr="00213B56">
        <w:rPr>
          <w:rFonts w:cs="Times New Roman"/>
          <w:sz w:val="24"/>
          <w:szCs w:val="24"/>
        </w:rPr>
        <w:t>(PMEW, 2012</w:t>
      </w:r>
      <w:r w:rsidR="007A278E" w:rsidRPr="00213B56">
        <w:rPr>
          <w:rFonts w:cs="Times New Roman"/>
          <w:sz w:val="24"/>
          <w:szCs w:val="24"/>
        </w:rPr>
        <w:t>; own calculations</w:t>
      </w:r>
      <w:r w:rsidRPr="00213B56">
        <w:rPr>
          <w:rFonts w:cs="Times New Roman"/>
          <w:sz w:val="24"/>
          <w:szCs w:val="24"/>
        </w:rPr>
        <w:t xml:space="preserve">).  Despite the relatively low share of the carbon emissions from </w:t>
      </w:r>
      <w:r w:rsidR="0005769E" w:rsidRPr="00213B56">
        <w:rPr>
          <w:rFonts w:cs="Times New Roman"/>
          <w:sz w:val="24"/>
          <w:szCs w:val="24"/>
        </w:rPr>
        <w:t>transport sector</w:t>
      </w:r>
      <w:r w:rsidRPr="00213B56">
        <w:rPr>
          <w:rFonts w:cs="Times New Roman"/>
          <w:sz w:val="24"/>
          <w:szCs w:val="24"/>
        </w:rPr>
        <w:t xml:space="preserve"> at </w:t>
      </w:r>
      <w:r w:rsidR="0005769E" w:rsidRPr="00213B56">
        <w:rPr>
          <w:rFonts w:cs="Times New Roman"/>
          <w:sz w:val="24"/>
          <w:szCs w:val="24"/>
        </w:rPr>
        <w:t>6.8</w:t>
      </w:r>
      <w:r w:rsidRPr="00213B56">
        <w:rPr>
          <w:rFonts w:cs="Times New Roman"/>
          <w:sz w:val="24"/>
          <w:szCs w:val="24"/>
        </w:rPr>
        <w:t>% of the country’s total emissions in 200</w:t>
      </w:r>
      <w:r w:rsidR="0005769E" w:rsidRPr="00213B56">
        <w:rPr>
          <w:rFonts w:cs="Times New Roman"/>
          <w:sz w:val="24"/>
          <w:szCs w:val="24"/>
        </w:rPr>
        <w:t>0</w:t>
      </w:r>
      <w:r w:rsidRPr="00213B56">
        <w:rPr>
          <w:rFonts w:cs="Times New Roman"/>
          <w:sz w:val="24"/>
          <w:szCs w:val="24"/>
        </w:rPr>
        <w:t xml:space="preserve"> (PMEW, 2012), this rate has been </w:t>
      </w:r>
      <w:r w:rsidR="008F1013" w:rsidRPr="00213B56">
        <w:rPr>
          <w:rFonts w:cs="Times New Roman"/>
          <w:sz w:val="24"/>
          <w:szCs w:val="24"/>
        </w:rPr>
        <w:t>gradually increasing since 1994</w:t>
      </w:r>
      <w:r w:rsidRPr="00213B56">
        <w:rPr>
          <w:rFonts w:cs="Times New Roman"/>
          <w:sz w:val="24"/>
          <w:szCs w:val="24"/>
        </w:rPr>
        <w:t xml:space="preserve">. Therefore, this emissions rate is one of a high priority to be controlled and managed. </w:t>
      </w:r>
    </w:p>
    <w:p w:rsidR="00585B42" w:rsidRPr="00751D45" w:rsidRDefault="00585B42" w:rsidP="00A57A61">
      <w:pPr>
        <w:spacing w:after="0" w:line="240" w:lineRule="auto"/>
        <w:jc w:val="both"/>
        <w:rPr>
          <w:rFonts w:cs="Times New Roman"/>
          <w:sz w:val="24"/>
          <w:szCs w:val="24"/>
        </w:rPr>
      </w:pPr>
    </w:p>
    <w:p w:rsidR="0043577C" w:rsidRPr="00751D45" w:rsidRDefault="0043577C" w:rsidP="0043577C">
      <w:pPr>
        <w:keepNext/>
        <w:spacing w:after="0" w:line="240" w:lineRule="auto"/>
        <w:jc w:val="both"/>
      </w:pPr>
      <w:r w:rsidRPr="00751D45">
        <w:rPr>
          <w:rFonts w:cs="Times New Roman"/>
          <w:noProof/>
          <w:sz w:val="24"/>
          <w:szCs w:val="24"/>
        </w:rPr>
        <w:lastRenderedPageBreak/>
        <w:drawing>
          <wp:inline distT="0" distB="0" distL="0" distR="0">
            <wp:extent cx="5943600" cy="219075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577C" w:rsidRPr="00751D45" w:rsidRDefault="0043577C" w:rsidP="0043577C">
      <w:pPr>
        <w:pStyle w:val="Caption"/>
        <w:spacing w:after="0"/>
        <w:jc w:val="center"/>
        <w:rPr>
          <w:rFonts w:cs="Times New Roman"/>
          <w:color w:val="auto"/>
          <w:sz w:val="20"/>
          <w:szCs w:val="20"/>
        </w:rPr>
      </w:pPr>
      <w:bookmarkStart w:id="9" w:name="_Ref376176408"/>
      <w:bookmarkStart w:id="10" w:name="_Toc377544466"/>
      <w:r w:rsidRPr="00751D45">
        <w:rPr>
          <w:color w:val="auto"/>
          <w:sz w:val="20"/>
          <w:szCs w:val="20"/>
        </w:rPr>
        <w:t xml:space="preserve">Figure </w:t>
      </w:r>
      <w:r w:rsidR="00EF653E" w:rsidRPr="00751D45">
        <w:rPr>
          <w:color w:val="auto"/>
          <w:sz w:val="20"/>
          <w:szCs w:val="20"/>
        </w:rPr>
        <w:fldChar w:fldCharType="begin"/>
      </w:r>
      <w:r w:rsidRPr="00751D45">
        <w:rPr>
          <w:color w:val="auto"/>
          <w:sz w:val="20"/>
          <w:szCs w:val="20"/>
        </w:rPr>
        <w:instrText xml:space="preserve"> SEQ Figure \* ARABIC </w:instrText>
      </w:r>
      <w:r w:rsidR="00EF653E" w:rsidRPr="00751D45">
        <w:rPr>
          <w:color w:val="auto"/>
          <w:sz w:val="20"/>
          <w:szCs w:val="20"/>
        </w:rPr>
        <w:fldChar w:fldCharType="separate"/>
      </w:r>
      <w:r w:rsidR="00751D45">
        <w:rPr>
          <w:noProof/>
          <w:color w:val="auto"/>
          <w:sz w:val="20"/>
          <w:szCs w:val="20"/>
        </w:rPr>
        <w:t>4</w:t>
      </w:r>
      <w:r w:rsidR="00EF653E" w:rsidRPr="00751D45">
        <w:rPr>
          <w:color w:val="auto"/>
          <w:sz w:val="20"/>
          <w:szCs w:val="20"/>
        </w:rPr>
        <w:fldChar w:fldCharType="end"/>
      </w:r>
      <w:bookmarkEnd w:id="9"/>
      <w:r w:rsidRPr="00751D45">
        <w:rPr>
          <w:color w:val="auto"/>
          <w:sz w:val="20"/>
          <w:szCs w:val="20"/>
          <w:lang w:val="en-GB"/>
        </w:rPr>
        <w:t>: Carbon emissions from transport sector in Bahrain between</w:t>
      </w:r>
      <w:r w:rsidR="006F089A" w:rsidRPr="00751D45">
        <w:rPr>
          <w:color w:val="auto"/>
          <w:sz w:val="20"/>
          <w:szCs w:val="20"/>
          <w:lang w:val="en-GB"/>
        </w:rPr>
        <w:t xml:space="preserve"> 2000 and 2010</w:t>
      </w:r>
      <w:bookmarkEnd w:id="10"/>
    </w:p>
    <w:p w:rsidR="0043577C" w:rsidRPr="00751D45" w:rsidRDefault="0043577C" w:rsidP="0043577C">
      <w:pPr>
        <w:spacing w:after="0" w:line="240" w:lineRule="auto"/>
        <w:jc w:val="center"/>
        <w:rPr>
          <w:rFonts w:cs="Times New Roman"/>
          <w:sz w:val="20"/>
          <w:szCs w:val="20"/>
        </w:rPr>
      </w:pPr>
      <w:r w:rsidRPr="00751D45">
        <w:rPr>
          <w:rFonts w:cs="Times New Roman"/>
          <w:sz w:val="20"/>
          <w:szCs w:val="20"/>
        </w:rPr>
        <w:t>Source: PMEW, 2012; own calculations.</w:t>
      </w:r>
    </w:p>
    <w:p w:rsidR="00525FD4" w:rsidRPr="00213B56" w:rsidRDefault="00397D1D" w:rsidP="004D00CC">
      <w:pPr>
        <w:pStyle w:val="Heading2"/>
        <w:rPr>
          <w:sz w:val="24"/>
          <w:szCs w:val="24"/>
        </w:rPr>
      </w:pPr>
      <w:bookmarkStart w:id="11" w:name="_Toc377544397"/>
      <w:r w:rsidRPr="00213B56">
        <w:rPr>
          <w:sz w:val="24"/>
          <w:szCs w:val="24"/>
        </w:rPr>
        <w:t>Methods</w:t>
      </w:r>
      <w:bookmarkEnd w:id="11"/>
    </w:p>
    <w:p w:rsidR="006616CD" w:rsidRPr="00213B56" w:rsidRDefault="003635F1" w:rsidP="00F3267A">
      <w:pPr>
        <w:spacing w:after="0" w:line="240" w:lineRule="auto"/>
        <w:jc w:val="both"/>
        <w:rPr>
          <w:sz w:val="24"/>
          <w:szCs w:val="24"/>
          <w:lang w:val="en-GB"/>
        </w:rPr>
      </w:pPr>
      <w:r w:rsidRPr="00213B56">
        <w:rPr>
          <w:sz w:val="24"/>
          <w:szCs w:val="24"/>
          <w:lang w:val="en-GB"/>
        </w:rPr>
        <w:t>Methodology suggested by</w:t>
      </w:r>
      <w:r w:rsidR="00F3267A">
        <w:rPr>
          <w:sz w:val="24"/>
          <w:szCs w:val="24"/>
          <w:lang w:val="en-GB"/>
        </w:rPr>
        <w:t xml:space="preserve"> the Global Fuel Economy Initiative</w:t>
      </w:r>
      <w:r w:rsidRPr="00213B56">
        <w:rPr>
          <w:sz w:val="24"/>
          <w:szCs w:val="24"/>
          <w:lang w:val="en-GB"/>
        </w:rPr>
        <w:t xml:space="preserve"> </w:t>
      </w:r>
      <w:r w:rsidR="00BC7CBA" w:rsidRPr="00213B56">
        <w:rPr>
          <w:sz w:val="24"/>
          <w:szCs w:val="24"/>
          <w:lang w:val="en-GB"/>
        </w:rPr>
        <w:t>(</w:t>
      </w:r>
      <w:r w:rsidR="003B0FBF" w:rsidRPr="00213B56">
        <w:rPr>
          <w:sz w:val="24"/>
          <w:szCs w:val="24"/>
          <w:lang w:val="en-GB"/>
        </w:rPr>
        <w:t>no date</w:t>
      </w:r>
      <w:r w:rsidR="00BC7CBA" w:rsidRPr="00213B56">
        <w:rPr>
          <w:sz w:val="24"/>
          <w:szCs w:val="24"/>
          <w:lang w:val="en-GB"/>
        </w:rPr>
        <w:t xml:space="preserve">) </w:t>
      </w:r>
      <w:r w:rsidRPr="00213B56">
        <w:rPr>
          <w:sz w:val="24"/>
          <w:szCs w:val="24"/>
          <w:lang w:val="en-GB"/>
        </w:rPr>
        <w:t>to construct a baseline that tracks trends in the fuel economy and CO</w:t>
      </w:r>
      <w:r w:rsidRPr="00213B56">
        <w:rPr>
          <w:sz w:val="24"/>
          <w:szCs w:val="24"/>
          <w:vertAlign w:val="subscript"/>
          <w:lang w:val="en-GB"/>
        </w:rPr>
        <w:t>2</w:t>
      </w:r>
      <w:r w:rsidRPr="00213B56">
        <w:rPr>
          <w:sz w:val="24"/>
          <w:szCs w:val="24"/>
          <w:lang w:val="en-GB"/>
        </w:rPr>
        <w:t xml:space="preserve"> emissions of new </w:t>
      </w:r>
      <w:r w:rsidR="001C4515" w:rsidRPr="00213B56">
        <w:rPr>
          <w:sz w:val="24"/>
          <w:szCs w:val="24"/>
          <w:lang w:val="en-GB"/>
        </w:rPr>
        <w:t>light-duty vehicles (</w:t>
      </w:r>
      <w:r w:rsidRPr="00213B56">
        <w:rPr>
          <w:sz w:val="24"/>
          <w:szCs w:val="24"/>
          <w:lang w:val="en-GB"/>
        </w:rPr>
        <w:t>LDVs</w:t>
      </w:r>
      <w:r w:rsidR="001C4515" w:rsidRPr="00213B56">
        <w:rPr>
          <w:sz w:val="24"/>
          <w:szCs w:val="24"/>
          <w:lang w:val="en-GB"/>
        </w:rPr>
        <w:t>)</w:t>
      </w:r>
      <w:r w:rsidRPr="00213B56">
        <w:rPr>
          <w:sz w:val="24"/>
          <w:szCs w:val="24"/>
          <w:lang w:val="en-GB"/>
        </w:rPr>
        <w:t xml:space="preserve"> is used to carry out this study.</w:t>
      </w:r>
      <w:r w:rsidR="006616CD" w:rsidRPr="00213B56">
        <w:rPr>
          <w:sz w:val="24"/>
          <w:szCs w:val="24"/>
          <w:lang w:val="en-GB"/>
        </w:rPr>
        <w:t xml:space="preserve"> LDVs include mini, small, compact, family and big cars in addition to light vans and sport utility vehicles (SUVs) (Annex 1).</w:t>
      </w:r>
    </w:p>
    <w:p w:rsidR="006616CD" w:rsidRPr="00213B56" w:rsidRDefault="006616CD" w:rsidP="006616CD">
      <w:pPr>
        <w:spacing w:after="0" w:line="240" w:lineRule="auto"/>
        <w:jc w:val="both"/>
        <w:rPr>
          <w:sz w:val="24"/>
          <w:szCs w:val="24"/>
          <w:lang w:val="en-GB"/>
        </w:rPr>
      </w:pPr>
    </w:p>
    <w:p w:rsidR="00397D1D" w:rsidRPr="00213B56" w:rsidRDefault="00815356" w:rsidP="006616CD">
      <w:pPr>
        <w:spacing w:after="0" w:line="240" w:lineRule="auto"/>
        <w:jc w:val="both"/>
        <w:rPr>
          <w:rFonts w:cs="Times New Roman"/>
          <w:sz w:val="24"/>
          <w:szCs w:val="24"/>
        </w:rPr>
      </w:pPr>
      <w:r w:rsidRPr="00213B56">
        <w:rPr>
          <w:sz w:val="24"/>
          <w:szCs w:val="24"/>
          <w:lang w:val="en-GB"/>
        </w:rPr>
        <w:t xml:space="preserve"> </w:t>
      </w:r>
      <w:r w:rsidR="00B21689" w:rsidRPr="00213B56">
        <w:rPr>
          <w:sz w:val="24"/>
          <w:szCs w:val="24"/>
          <w:lang w:val="en-GB"/>
        </w:rPr>
        <w:t>The new LDVs data are</w:t>
      </w:r>
      <w:r w:rsidR="00B21689" w:rsidRPr="00213B56">
        <w:rPr>
          <w:rFonts w:cs="Times New Roman"/>
          <w:sz w:val="24"/>
          <w:szCs w:val="24"/>
        </w:rPr>
        <w:t xml:space="preserve"> compiled from the General Directorate of Traffic – Ministry of Interior for the years 2005, 2008, 2010 and 2012.</w:t>
      </w:r>
      <w:r w:rsidR="004213A3" w:rsidRPr="00213B56">
        <w:rPr>
          <w:rFonts w:cs="Times New Roman"/>
          <w:sz w:val="24"/>
          <w:szCs w:val="24"/>
        </w:rPr>
        <w:t xml:space="preserve"> </w:t>
      </w:r>
      <w:r w:rsidR="00425E28" w:rsidRPr="00213B56">
        <w:rPr>
          <w:rFonts w:cs="Times New Roman"/>
          <w:sz w:val="24"/>
          <w:szCs w:val="24"/>
        </w:rPr>
        <w:t>A sample of the data</w:t>
      </w:r>
      <w:r w:rsidR="00232FB9" w:rsidRPr="00213B56">
        <w:rPr>
          <w:rFonts w:cs="Times New Roman"/>
          <w:sz w:val="24"/>
          <w:szCs w:val="24"/>
        </w:rPr>
        <w:t xml:space="preserve"> set</w:t>
      </w:r>
      <w:r w:rsidR="00425E28" w:rsidRPr="00213B56">
        <w:rPr>
          <w:rFonts w:cs="Times New Roman"/>
          <w:sz w:val="24"/>
          <w:szCs w:val="24"/>
        </w:rPr>
        <w:t xml:space="preserve"> is presented in Annex 2. </w:t>
      </w:r>
      <w:r w:rsidR="004213A3" w:rsidRPr="00213B56">
        <w:rPr>
          <w:rFonts w:cs="Times New Roman"/>
          <w:sz w:val="24"/>
          <w:szCs w:val="24"/>
        </w:rPr>
        <w:t xml:space="preserve">The data set includes </w:t>
      </w:r>
      <w:r w:rsidR="0009164F" w:rsidRPr="00213B56">
        <w:rPr>
          <w:rFonts w:cs="Times New Roman"/>
          <w:sz w:val="24"/>
          <w:szCs w:val="24"/>
        </w:rPr>
        <w:t xml:space="preserve">the following vehicle characteristics: </w:t>
      </w:r>
    </w:p>
    <w:p w:rsidR="00796904" w:rsidRPr="00213B56" w:rsidRDefault="00796904" w:rsidP="003505A7">
      <w:pPr>
        <w:spacing w:after="0" w:line="240" w:lineRule="auto"/>
        <w:jc w:val="both"/>
        <w:rPr>
          <w:rFonts w:cs="Times New Roman"/>
          <w:sz w:val="24"/>
          <w:szCs w:val="24"/>
        </w:rPr>
      </w:pPr>
    </w:p>
    <w:p w:rsidR="0009164F" w:rsidRPr="00213B56" w:rsidRDefault="0009164F" w:rsidP="003505A7">
      <w:pPr>
        <w:pStyle w:val="ListParagraph"/>
        <w:numPr>
          <w:ilvl w:val="0"/>
          <w:numId w:val="11"/>
        </w:numPr>
        <w:spacing w:after="0" w:line="240" w:lineRule="auto"/>
        <w:jc w:val="both"/>
        <w:rPr>
          <w:sz w:val="24"/>
          <w:szCs w:val="24"/>
          <w:lang w:val="en-GB"/>
        </w:rPr>
      </w:pPr>
      <w:r w:rsidRPr="00213B56">
        <w:rPr>
          <w:sz w:val="24"/>
          <w:szCs w:val="24"/>
          <w:lang w:val="en-GB"/>
        </w:rPr>
        <w:t>Vehicle make and model</w:t>
      </w:r>
    </w:p>
    <w:p w:rsidR="0009164F" w:rsidRPr="00213B56" w:rsidRDefault="0009164F" w:rsidP="003505A7">
      <w:pPr>
        <w:pStyle w:val="ListParagraph"/>
        <w:numPr>
          <w:ilvl w:val="0"/>
          <w:numId w:val="11"/>
        </w:numPr>
        <w:spacing w:after="0" w:line="240" w:lineRule="auto"/>
        <w:jc w:val="both"/>
        <w:rPr>
          <w:sz w:val="24"/>
          <w:szCs w:val="24"/>
          <w:lang w:val="en-GB"/>
        </w:rPr>
      </w:pPr>
      <w:r w:rsidRPr="00213B56">
        <w:rPr>
          <w:sz w:val="24"/>
          <w:szCs w:val="24"/>
          <w:lang w:val="en-GB"/>
        </w:rPr>
        <w:t>Model production year</w:t>
      </w:r>
    </w:p>
    <w:p w:rsidR="0009164F" w:rsidRPr="00213B56" w:rsidRDefault="0009164F" w:rsidP="003505A7">
      <w:pPr>
        <w:pStyle w:val="ListParagraph"/>
        <w:numPr>
          <w:ilvl w:val="0"/>
          <w:numId w:val="11"/>
        </w:numPr>
        <w:spacing w:after="0" w:line="240" w:lineRule="auto"/>
        <w:jc w:val="both"/>
        <w:rPr>
          <w:sz w:val="24"/>
          <w:szCs w:val="24"/>
          <w:lang w:val="en-GB"/>
        </w:rPr>
      </w:pPr>
      <w:r w:rsidRPr="00213B56">
        <w:rPr>
          <w:sz w:val="24"/>
          <w:szCs w:val="24"/>
          <w:lang w:val="en-GB"/>
        </w:rPr>
        <w:t>Year of first registration</w:t>
      </w:r>
    </w:p>
    <w:p w:rsidR="0009164F" w:rsidRPr="00213B56" w:rsidRDefault="007753CD" w:rsidP="00176614">
      <w:pPr>
        <w:pStyle w:val="ListParagraph"/>
        <w:numPr>
          <w:ilvl w:val="0"/>
          <w:numId w:val="11"/>
        </w:numPr>
        <w:spacing w:after="0" w:line="240" w:lineRule="auto"/>
        <w:jc w:val="both"/>
        <w:rPr>
          <w:sz w:val="24"/>
          <w:szCs w:val="24"/>
          <w:lang w:val="en-GB"/>
        </w:rPr>
      </w:pPr>
      <w:r w:rsidRPr="00213B56">
        <w:rPr>
          <w:sz w:val="24"/>
          <w:szCs w:val="24"/>
          <w:lang w:val="en-GB"/>
        </w:rPr>
        <w:t xml:space="preserve">Fuel type </w:t>
      </w:r>
    </w:p>
    <w:p w:rsidR="007753CD" w:rsidRPr="00213B56" w:rsidRDefault="007753CD" w:rsidP="003505A7">
      <w:pPr>
        <w:pStyle w:val="ListParagraph"/>
        <w:numPr>
          <w:ilvl w:val="0"/>
          <w:numId w:val="11"/>
        </w:numPr>
        <w:spacing w:after="0" w:line="240" w:lineRule="auto"/>
        <w:jc w:val="both"/>
        <w:rPr>
          <w:sz w:val="24"/>
          <w:szCs w:val="24"/>
          <w:lang w:val="en-GB"/>
        </w:rPr>
      </w:pPr>
      <w:r w:rsidRPr="00213B56">
        <w:rPr>
          <w:sz w:val="24"/>
          <w:szCs w:val="24"/>
          <w:lang w:val="en-GB"/>
        </w:rPr>
        <w:t>Engine size (in cubic meters – cc)</w:t>
      </w:r>
    </w:p>
    <w:p w:rsidR="007753CD" w:rsidRPr="00213B56" w:rsidRDefault="007753CD" w:rsidP="003505A7">
      <w:pPr>
        <w:pStyle w:val="ListParagraph"/>
        <w:numPr>
          <w:ilvl w:val="0"/>
          <w:numId w:val="11"/>
        </w:numPr>
        <w:spacing w:after="0" w:line="240" w:lineRule="auto"/>
        <w:jc w:val="both"/>
        <w:rPr>
          <w:sz w:val="24"/>
          <w:szCs w:val="24"/>
          <w:lang w:val="en-GB"/>
        </w:rPr>
      </w:pPr>
      <w:r w:rsidRPr="00213B56">
        <w:rPr>
          <w:sz w:val="24"/>
          <w:szCs w:val="24"/>
          <w:lang w:val="en-GB"/>
        </w:rPr>
        <w:t>Curb weight (in kilograms – kg)</w:t>
      </w:r>
    </w:p>
    <w:p w:rsidR="007753CD" w:rsidRPr="00213B56" w:rsidRDefault="00D87441" w:rsidP="003505A7">
      <w:pPr>
        <w:pStyle w:val="ListParagraph"/>
        <w:numPr>
          <w:ilvl w:val="0"/>
          <w:numId w:val="11"/>
        </w:numPr>
        <w:spacing w:after="0" w:line="240" w:lineRule="auto"/>
        <w:jc w:val="both"/>
        <w:rPr>
          <w:sz w:val="24"/>
          <w:szCs w:val="24"/>
          <w:lang w:val="en-GB"/>
        </w:rPr>
      </w:pPr>
      <w:r w:rsidRPr="00213B56">
        <w:rPr>
          <w:sz w:val="24"/>
          <w:szCs w:val="24"/>
          <w:lang w:val="en-GB"/>
        </w:rPr>
        <w:t>Number of cylinders</w:t>
      </w:r>
    </w:p>
    <w:p w:rsidR="00D87441" w:rsidRPr="00213B56" w:rsidRDefault="00D87441" w:rsidP="003505A7">
      <w:pPr>
        <w:pStyle w:val="ListParagraph"/>
        <w:numPr>
          <w:ilvl w:val="0"/>
          <w:numId w:val="11"/>
        </w:numPr>
        <w:spacing w:after="0" w:line="240" w:lineRule="auto"/>
        <w:jc w:val="both"/>
        <w:rPr>
          <w:sz w:val="24"/>
          <w:szCs w:val="24"/>
          <w:lang w:val="en-GB"/>
        </w:rPr>
      </w:pPr>
      <w:r w:rsidRPr="00213B56">
        <w:rPr>
          <w:sz w:val="24"/>
          <w:szCs w:val="24"/>
          <w:lang w:val="en-GB"/>
        </w:rPr>
        <w:t>Body type</w:t>
      </w:r>
    </w:p>
    <w:p w:rsidR="007753CD" w:rsidRPr="00213B56" w:rsidRDefault="00D87441" w:rsidP="003505A7">
      <w:pPr>
        <w:pStyle w:val="ListParagraph"/>
        <w:numPr>
          <w:ilvl w:val="0"/>
          <w:numId w:val="11"/>
        </w:numPr>
        <w:spacing w:after="0" w:line="240" w:lineRule="auto"/>
        <w:jc w:val="both"/>
        <w:rPr>
          <w:sz w:val="24"/>
          <w:szCs w:val="24"/>
          <w:lang w:val="en-GB"/>
        </w:rPr>
      </w:pPr>
      <w:r w:rsidRPr="00213B56">
        <w:rPr>
          <w:sz w:val="24"/>
          <w:szCs w:val="24"/>
          <w:lang w:val="en-GB"/>
        </w:rPr>
        <w:t>Registration plate type / use of the vehicle</w:t>
      </w:r>
    </w:p>
    <w:p w:rsidR="00525FD4" w:rsidRPr="00213B56" w:rsidRDefault="00525FD4" w:rsidP="003505A7">
      <w:pPr>
        <w:spacing w:after="0" w:line="240" w:lineRule="auto"/>
        <w:jc w:val="both"/>
        <w:rPr>
          <w:sz w:val="24"/>
          <w:szCs w:val="24"/>
          <w:lang w:val="en-GB"/>
        </w:rPr>
      </w:pPr>
    </w:p>
    <w:p w:rsidR="00815356" w:rsidRPr="00213B56" w:rsidRDefault="00B13410" w:rsidP="00A20648">
      <w:pPr>
        <w:spacing w:after="0" w:line="240" w:lineRule="auto"/>
        <w:jc w:val="both"/>
        <w:rPr>
          <w:rFonts w:cs="Times New Roman"/>
          <w:sz w:val="24"/>
          <w:szCs w:val="24"/>
        </w:rPr>
      </w:pPr>
      <w:r w:rsidRPr="00213B56">
        <w:rPr>
          <w:rFonts w:cs="Times New Roman"/>
          <w:sz w:val="24"/>
          <w:szCs w:val="24"/>
        </w:rPr>
        <w:t xml:space="preserve">A number of tasks involved with data processing and management </w:t>
      </w:r>
      <w:r w:rsidR="00A82331" w:rsidRPr="00213B56">
        <w:rPr>
          <w:rFonts w:cs="Times New Roman"/>
          <w:sz w:val="24"/>
          <w:szCs w:val="24"/>
        </w:rPr>
        <w:t xml:space="preserve">were </w:t>
      </w:r>
      <w:r w:rsidRPr="00213B56">
        <w:rPr>
          <w:rFonts w:cs="Times New Roman"/>
          <w:sz w:val="24"/>
          <w:szCs w:val="24"/>
        </w:rPr>
        <w:t>undertaken.</w:t>
      </w:r>
      <w:r w:rsidR="00916BA8" w:rsidRPr="00213B56">
        <w:rPr>
          <w:rFonts w:cs="Times New Roman"/>
          <w:sz w:val="24"/>
          <w:szCs w:val="24"/>
        </w:rPr>
        <w:t xml:space="preserve"> </w:t>
      </w:r>
      <w:r w:rsidR="00815356" w:rsidRPr="00213B56">
        <w:rPr>
          <w:rFonts w:cs="Times New Roman"/>
          <w:sz w:val="24"/>
          <w:szCs w:val="24"/>
        </w:rPr>
        <w:t>Details on the</w:t>
      </w:r>
      <w:r w:rsidR="00815356" w:rsidRPr="00213B56">
        <w:rPr>
          <w:sz w:val="24"/>
          <w:szCs w:val="24"/>
        </w:rPr>
        <w:t xml:space="preserve"> sources contacted and data cleaning are available in Annex 1. </w:t>
      </w:r>
      <w:r w:rsidR="00A20648" w:rsidRPr="00213B56">
        <w:rPr>
          <w:sz w:val="24"/>
          <w:szCs w:val="24"/>
        </w:rPr>
        <w:t xml:space="preserve">It is worth noting in this context that more than 50 % of accurate emission factors and fuel economy was achieved. </w:t>
      </w:r>
    </w:p>
    <w:p w:rsidR="00B13410" w:rsidRPr="00213B56" w:rsidRDefault="00916BA8" w:rsidP="00A82331">
      <w:pPr>
        <w:spacing w:after="0" w:line="240" w:lineRule="auto"/>
        <w:jc w:val="both"/>
        <w:rPr>
          <w:rFonts w:cs="Times New Roman"/>
          <w:sz w:val="24"/>
          <w:szCs w:val="24"/>
        </w:rPr>
      </w:pPr>
      <w:r w:rsidRPr="00213B56">
        <w:rPr>
          <w:rFonts w:cs="Times New Roman"/>
          <w:sz w:val="24"/>
          <w:szCs w:val="24"/>
        </w:rPr>
        <w:t xml:space="preserve">Details are available in </w:t>
      </w:r>
      <w:r w:rsidR="00AF76B6" w:rsidRPr="00213B56">
        <w:rPr>
          <w:rFonts w:cs="Times New Roman"/>
          <w:sz w:val="24"/>
          <w:szCs w:val="24"/>
        </w:rPr>
        <w:t>A</w:t>
      </w:r>
      <w:r w:rsidRPr="00213B56">
        <w:rPr>
          <w:rFonts w:cs="Times New Roman"/>
          <w:sz w:val="24"/>
          <w:szCs w:val="24"/>
        </w:rPr>
        <w:t xml:space="preserve">nnex </w:t>
      </w:r>
      <w:r w:rsidR="00AF76B6" w:rsidRPr="00213B56">
        <w:rPr>
          <w:rFonts w:cs="Times New Roman"/>
          <w:sz w:val="24"/>
          <w:szCs w:val="24"/>
        </w:rPr>
        <w:t>1</w:t>
      </w:r>
      <w:r w:rsidRPr="00213B56">
        <w:rPr>
          <w:rFonts w:cs="Times New Roman"/>
          <w:sz w:val="24"/>
          <w:szCs w:val="24"/>
        </w:rPr>
        <w:t>.</w:t>
      </w:r>
    </w:p>
    <w:p w:rsidR="00E04371" w:rsidRPr="00751D45" w:rsidRDefault="00E04371" w:rsidP="003505A7">
      <w:pPr>
        <w:spacing w:after="0" w:line="240" w:lineRule="auto"/>
        <w:jc w:val="both"/>
        <w:rPr>
          <w:rFonts w:cs="Times New Roman"/>
          <w:sz w:val="24"/>
          <w:szCs w:val="24"/>
        </w:rPr>
      </w:pPr>
    </w:p>
    <w:p w:rsidR="00E04371" w:rsidRPr="00213B56" w:rsidRDefault="00482F04" w:rsidP="004D00CC">
      <w:pPr>
        <w:pStyle w:val="Heading2"/>
        <w:rPr>
          <w:sz w:val="24"/>
          <w:szCs w:val="24"/>
        </w:rPr>
      </w:pPr>
      <w:bookmarkStart w:id="12" w:name="_Toc377544398"/>
      <w:r w:rsidRPr="00213B56">
        <w:rPr>
          <w:sz w:val="24"/>
          <w:szCs w:val="24"/>
        </w:rPr>
        <w:lastRenderedPageBreak/>
        <w:t>Results and Discussion</w:t>
      </w:r>
      <w:bookmarkEnd w:id="12"/>
    </w:p>
    <w:p w:rsidR="001E4398" w:rsidRPr="00213B56" w:rsidRDefault="001E4398" w:rsidP="00A90BAA">
      <w:pPr>
        <w:spacing w:after="0" w:line="240" w:lineRule="auto"/>
        <w:jc w:val="both"/>
        <w:rPr>
          <w:rFonts w:cs="Times New Roman"/>
          <w:sz w:val="24"/>
          <w:szCs w:val="24"/>
        </w:rPr>
      </w:pPr>
      <w:r w:rsidRPr="00213B56">
        <w:rPr>
          <w:sz w:val="24"/>
          <w:szCs w:val="24"/>
        </w:rPr>
        <w:t>The fuel economy of new LDVs in Bahrain has improved in 2012 by 1</w:t>
      </w:r>
      <w:r w:rsidR="00A90BAA" w:rsidRPr="00213B56">
        <w:rPr>
          <w:sz w:val="24"/>
          <w:szCs w:val="24"/>
        </w:rPr>
        <w:t xml:space="preserve"> liter per 100 km</w:t>
      </w:r>
      <w:r w:rsidRPr="00213B56">
        <w:rPr>
          <w:sz w:val="24"/>
          <w:szCs w:val="24"/>
        </w:rPr>
        <w:t xml:space="preserve">  compared to the year 2005. However, the detailed figures indicate a </w:t>
      </w:r>
      <w:r w:rsidR="00A90BAA" w:rsidRPr="00213B56">
        <w:rPr>
          <w:sz w:val="24"/>
          <w:szCs w:val="24"/>
        </w:rPr>
        <w:t xml:space="preserve">slight </w:t>
      </w:r>
      <w:r w:rsidRPr="00213B56">
        <w:rPr>
          <w:sz w:val="24"/>
          <w:szCs w:val="24"/>
        </w:rPr>
        <w:t>decrease in the fuel economy numbers in 2008 and 2010 matching a similar trend in non – OECD countries</w:t>
      </w:r>
      <w:r w:rsidRPr="00213B56">
        <w:rPr>
          <w:rStyle w:val="FootnoteReference"/>
          <w:sz w:val="24"/>
          <w:szCs w:val="24"/>
        </w:rPr>
        <w:footnoteReference w:id="3"/>
      </w:r>
      <w:r w:rsidRPr="00213B56">
        <w:rPr>
          <w:sz w:val="24"/>
          <w:szCs w:val="24"/>
        </w:rPr>
        <w:t xml:space="preserve"> </w:t>
      </w:r>
      <w:r w:rsidRPr="00213B56">
        <w:rPr>
          <w:rFonts w:cs="Times New Roman"/>
          <w:sz w:val="24"/>
          <w:szCs w:val="24"/>
        </w:rPr>
        <w:t xml:space="preserve">(GFEI, 2013b). </w:t>
      </w:r>
    </w:p>
    <w:p w:rsidR="001E4398" w:rsidRPr="00751D45" w:rsidRDefault="001E4398" w:rsidP="001E4398">
      <w:pPr>
        <w:spacing w:after="0" w:line="240" w:lineRule="auto"/>
        <w:jc w:val="both"/>
        <w:rPr>
          <w:rFonts w:cs="Times New Roman"/>
          <w:sz w:val="24"/>
          <w:szCs w:val="24"/>
        </w:rPr>
      </w:pPr>
    </w:p>
    <w:p w:rsidR="00306915" w:rsidRPr="00751D45" w:rsidRDefault="00110C7F" w:rsidP="00306915">
      <w:pPr>
        <w:keepNext/>
        <w:spacing w:after="0" w:line="240" w:lineRule="auto"/>
        <w:jc w:val="both"/>
      </w:pPr>
      <w:r w:rsidRPr="00751D45">
        <w:rPr>
          <w:rFonts w:cs="Times New Roman"/>
          <w:noProof/>
          <w:sz w:val="24"/>
          <w:szCs w:val="24"/>
        </w:rPr>
        <w:drawing>
          <wp:inline distT="0" distB="0" distL="0" distR="0">
            <wp:extent cx="5943600" cy="2600325"/>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0C7F" w:rsidRPr="00751D45" w:rsidRDefault="00306915" w:rsidP="00306915">
      <w:pPr>
        <w:pStyle w:val="Caption"/>
        <w:spacing w:after="0"/>
        <w:jc w:val="center"/>
        <w:rPr>
          <w:rFonts w:cs="Times New Roman"/>
          <w:color w:val="000000" w:themeColor="text1"/>
          <w:sz w:val="20"/>
          <w:szCs w:val="20"/>
        </w:rPr>
      </w:pPr>
      <w:bookmarkStart w:id="13" w:name="_Ref377455459"/>
      <w:bookmarkStart w:id="14" w:name="_Toc377544467"/>
      <w:r w:rsidRPr="00751D45">
        <w:rPr>
          <w:color w:val="000000" w:themeColor="text1"/>
          <w:sz w:val="20"/>
          <w:szCs w:val="20"/>
        </w:rPr>
        <w:t xml:space="preserve">Figure </w:t>
      </w:r>
      <w:r w:rsidR="00EF653E" w:rsidRPr="00751D45">
        <w:rPr>
          <w:color w:val="000000" w:themeColor="text1"/>
          <w:sz w:val="20"/>
          <w:szCs w:val="20"/>
        </w:rPr>
        <w:fldChar w:fldCharType="begin"/>
      </w:r>
      <w:r w:rsidRPr="00751D45">
        <w:rPr>
          <w:color w:val="000000" w:themeColor="text1"/>
          <w:sz w:val="20"/>
          <w:szCs w:val="20"/>
        </w:rPr>
        <w:instrText xml:space="preserve"> SEQ Figure \* ARABIC </w:instrText>
      </w:r>
      <w:r w:rsidR="00EF653E" w:rsidRPr="00751D45">
        <w:rPr>
          <w:color w:val="000000" w:themeColor="text1"/>
          <w:sz w:val="20"/>
          <w:szCs w:val="20"/>
        </w:rPr>
        <w:fldChar w:fldCharType="separate"/>
      </w:r>
      <w:r w:rsidR="00751D45">
        <w:rPr>
          <w:noProof/>
          <w:color w:val="000000" w:themeColor="text1"/>
          <w:sz w:val="20"/>
          <w:szCs w:val="20"/>
        </w:rPr>
        <w:t>5</w:t>
      </w:r>
      <w:r w:rsidR="00EF653E" w:rsidRPr="00751D45">
        <w:rPr>
          <w:color w:val="000000" w:themeColor="text1"/>
          <w:sz w:val="20"/>
          <w:szCs w:val="20"/>
        </w:rPr>
        <w:fldChar w:fldCharType="end"/>
      </w:r>
      <w:bookmarkEnd w:id="13"/>
      <w:r w:rsidRPr="00751D45">
        <w:rPr>
          <w:color w:val="000000" w:themeColor="text1"/>
          <w:sz w:val="20"/>
          <w:szCs w:val="20"/>
          <w:lang w:val="en-GB"/>
        </w:rPr>
        <w:t>: Average fuel economy (L/100km) and CO2 emissions (g/km) for new LDVs in Bahrain</w:t>
      </w:r>
      <w:bookmarkEnd w:id="14"/>
    </w:p>
    <w:p w:rsidR="00110C7F" w:rsidRPr="00751D45" w:rsidRDefault="00110C7F" w:rsidP="001E4398">
      <w:pPr>
        <w:spacing w:after="0" w:line="240" w:lineRule="auto"/>
        <w:jc w:val="both"/>
        <w:rPr>
          <w:rFonts w:cs="Times New Roman"/>
          <w:sz w:val="24"/>
          <w:szCs w:val="24"/>
        </w:rPr>
      </w:pPr>
    </w:p>
    <w:p w:rsidR="001E4398" w:rsidRPr="00491AD4" w:rsidRDefault="001E4398" w:rsidP="00491AD4">
      <w:pPr>
        <w:pBdr>
          <w:between w:val="single" w:sz="4" w:space="1" w:color="auto"/>
        </w:pBdr>
        <w:spacing w:after="0" w:line="240" w:lineRule="auto"/>
        <w:jc w:val="both"/>
        <w:rPr>
          <w:rFonts w:cs="Times New Roman"/>
          <w:sz w:val="24"/>
          <w:szCs w:val="24"/>
        </w:rPr>
      </w:pPr>
      <w:r w:rsidRPr="00751D45">
        <w:rPr>
          <w:rFonts w:cs="Times New Roman"/>
          <w:sz w:val="24"/>
          <w:szCs w:val="24"/>
        </w:rPr>
        <w:t>When compared to the fuel economy trend of new vehicles in the USA</w:t>
      </w:r>
      <w:r w:rsidRPr="00751D45">
        <w:rPr>
          <w:rStyle w:val="FootnoteReference"/>
          <w:rFonts w:cs="Times New Roman"/>
          <w:sz w:val="24"/>
          <w:szCs w:val="24"/>
        </w:rPr>
        <w:footnoteReference w:id="4"/>
      </w:r>
      <w:r w:rsidRPr="00751D45">
        <w:rPr>
          <w:rFonts w:cs="Times New Roman"/>
          <w:sz w:val="24"/>
          <w:szCs w:val="24"/>
        </w:rPr>
        <w:t xml:space="preserve">, the gap widens over time in favor of the USA as shown in </w:t>
      </w:r>
      <w:r w:rsidR="00784E68">
        <w:fldChar w:fldCharType="begin"/>
      </w:r>
      <w:r w:rsidR="00784E68">
        <w:instrText xml:space="preserve"> REF _Ref377543682 \h  \* MERGEFORMAT </w:instrText>
      </w:r>
      <w:r w:rsidR="00784E68">
        <w:fldChar w:fldCharType="separate"/>
      </w:r>
      <w:r w:rsidR="00491AD4" w:rsidRPr="00491AD4">
        <w:rPr>
          <w:color w:val="000000" w:themeColor="text1"/>
          <w:sz w:val="24"/>
          <w:szCs w:val="24"/>
        </w:rPr>
        <w:t>Figure 6</w:t>
      </w:r>
      <w:r w:rsidR="00784E68">
        <w:fldChar w:fldCharType="end"/>
      </w:r>
      <w:r w:rsidRPr="00751D45">
        <w:rPr>
          <w:rFonts w:cs="Times New Roman"/>
          <w:sz w:val="24"/>
          <w:szCs w:val="24"/>
        </w:rPr>
        <w:t xml:space="preserve">. The US fuel economy standards are set at </w:t>
      </w:r>
      <w:r w:rsidR="004C6747" w:rsidRPr="00751D45">
        <w:rPr>
          <w:rFonts w:cs="Times New Roman"/>
          <w:sz w:val="24"/>
          <w:szCs w:val="24"/>
        </w:rPr>
        <w:t>7.2</w:t>
      </w:r>
      <w:r w:rsidRPr="00751D45">
        <w:rPr>
          <w:rFonts w:cs="Times New Roman"/>
          <w:sz w:val="24"/>
          <w:szCs w:val="24"/>
        </w:rPr>
        <w:t xml:space="preserve"> </w:t>
      </w:r>
      <w:r w:rsidR="004C6747" w:rsidRPr="00751D45">
        <w:rPr>
          <w:rFonts w:cs="Times New Roman"/>
          <w:sz w:val="24"/>
          <w:szCs w:val="24"/>
        </w:rPr>
        <w:t>l/100 km</w:t>
      </w:r>
      <w:r w:rsidRPr="00751D45">
        <w:rPr>
          <w:rFonts w:cs="Times New Roman"/>
          <w:sz w:val="24"/>
          <w:szCs w:val="24"/>
        </w:rPr>
        <w:t xml:space="preserve"> for passenger vehicles manufactured in the year 2012, and at </w:t>
      </w:r>
      <w:r w:rsidR="004C6747" w:rsidRPr="00751D45">
        <w:rPr>
          <w:rFonts w:cs="Times New Roman"/>
          <w:sz w:val="24"/>
          <w:szCs w:val="24"/>
        </w:rPr>
        <w:t>9.3 l/100km</w:t>
      </w:r>
      <w:r w:rsidRPr="00751D45">
        <w:rPr>
          <w:rFonts w:cs="Times New Roman"/>
          <w:sz w:val="24"/>
          <w:szCs w:val="24"/>
        </w:rPr>
        <w:t xml:space="preserve"> for light trucks manufactured in the same year (RITA, 2013). These standards ensure improvements in the vehicle fuel economy unlike the case of Bahrain.</w:t>
      </w:r>
      <w:r w:rsidR="00B11426" w:rsidRPr="00751D45">
        <w:rPr>
          <w:rFonts w:cs="Times New Roman"/>
          <w:sz w:val="24"/>
          <w:szCs w:val="24"/>
        </w:rPr>
        <w:t xml:space="preserve"> The fuel economy figures for Bahrain are also higher than that of the </w:t>
      </w:r>
      <w:r w:rsidR="00B11426" w:rsidRPr="00751D45">
        <w:rPr>
          <w:rStyle w:val="st1"/>
          <w:rFonts w:cs="Times New Roman"/>
          <w:sz w:val="24"/>
          <w:szCs w:val="24"/>
        </w:rPr>
        <w:t xml:space="preserve">Organization for Economic Co-operation and Development (OECD) countries, and non-OECD </w:t>
      </w:r>
      <w:r w:rsidR="00B11426" w:rsidRPr="00491AD4">
        <w:rPr>
          <w:rStyle w:val="st1"/>
          <w:rFonts w:cs="Times New Roman"/>
          <w:sz w:val="24"/>
          <w:szCs w:val="24"/>
        </w:rPr>
        <w:t>countries (</w:t>
      </w:r>
      <w:r w:rsidR="00784E68">
        <w:fldChar w:fldCharType="begin"/>
      </w:r>
      <w:r w:rsidR="00784E68">
        <w:instrText xml:space="preserve"> REF _Ref377543729 \h  \* MERGEFORMAT </w:instrText>
      </w:r>
      <w:r w:rsidR="00784E68">
        <w:fldChar w:fldCharType="separate"/>
      </w:r>
      <w:r w:rsidR="00491AD4" w:rsidRPr="00491AD4">
        <w:rPr>
          <w:color w:val="000000" w:themeColor="text1"/>
          <w:sz w:val="24"/>
          <w:szCs w:val="24"/>
        </w:rPr>
        <w:t>Figure 7</w:t>
      </w:r>
      <w:r w:rsidR="00784E68">
        <w:fldChar w:fldCharType="end"/>
      </w:r>
      <w:r w:rsidR="00B11426" w:rsidRPr="00491AD4">
        <w:rPr>
          <w:rStyle w:val="st1"/>
          <w:rFonts w:cs="Times New Roman"/>
          <w:sz w:val="24"/>
          <w:szCs w:val="24"/>
        </w:rPr>
        <w:t xml:space="preserve">). </w:t>
      </w:r>
    </w:p>
    <w:p w:rsidR="001E4398" w:rsidRPr="00751D45" w:rsidRDefault="001E4398" w:rsidP="001E4398">
      <w:pPr>
        <w:spacing w:after="0" w:line="240" w:lineRule="auto"/>
        <w:jc w:val="both"/>
        <w:rPr>
          <w:rFonts w:cs="Times New Roman"/>
          <w:sz w:val="20"/>
          <w:szCs w:val="20"/>
        </w:rPr>
      </w:pPr>
    </w:p>
    <w:p w:rsidR="00A90BAA" w:rsidRPr="00751D45" w:rsidRDefault="00A90BAA" w:rsidP="00A90BAA">
      <w:pPr>
        <w:keepNext/>
        <w:spacing w:after="0" w:line="240" w:lineRule="auto"/>
        <w:jc w:val="both"/>
      </w:pPr>
    </w:p>
    <w:p w:rsidR="002404EC" w:rsidRPr="00751D45" w:rsidRDefault="002404EC" w:rsidP="00A90BAA">
      <w:pPr>
        <w:pStyle w:val="Caption"/>
        <w:keepNext/>
        <w:spacing w:after="0"/>
        <w:jc w:val="center"/>
        <w:rPr>
          <w:color w:val="000000" w:themeColor="text1"/>
          <w:sz w:val="20"/>
          <w:szCs w:val="20"/>
        </w:rPr>
      </w:pPr>
      <w:r w:rsidRPr="00751D45">
        <w:rPr>
          <w:noProof/>
          <w:color w:val="000000" w:themeColor="text1"/>
          <w:sz w:val="20"/>
          <w:szCs w:val="20"/>
        </w:rPr>
        <w:drawing>
          <wp:inline distT="0" distB="0" distL="0" distR="0">
            <wp:extent cx="5829300" cy="2743200"/>
            <wp:effectExtent l="19050" t="0" r="1905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0BAA" w:rsidRPr="00751D45" w:rsidRDefault="00A90BAA" w:rsidP="00E43AC9">
      <w:pPr>
        <w:pStyle w:val="Caption"/>
        <w:keepNext/>
        <w:spacing w:after="0"/>
        <w:jc w:val="center"/>
        <w:rPr>
          <w:color w:val="000000" w:themeColor="text1"/>
          <w:sz w:val="20"/>
          <w:szCs w:val="20"/>
          <w:lang w:val="en-GB"/>
        </w:rPr>
      </w:pPr>
      <w:bookmarkStart w:id="15" w:name="_Ref377543682"/>
      <w:bookmarkStart w:id="16" w:name="_Toc377544468"/>
      <w:r w:rsidRPr="00751D45">
        <w:rPr>
          <w:color w:val="000000" w:themeColor="text1"/>
          <w:sz w:val="20"/>
          <w:szCs w:val="20"/>
        </w:rPr>
        <w:t xml:space="preserve">Figure </w:t>
      </w:r>
      <w:r w:rsidR="00EF653E" w:rsidRPr="00751D45">
        <w:rPr>
          <w:color w:val="000000" w:themeColor="text1"/>
          <w:sz w:val="20"/>
          <w:szCs w:val="20"/>
        </w:rPr>
        <w:fldChar w:fldCharType="begin"/>
      </w:r>
      <w:r w:rsidRPr="00751D45">
        <w:rPr>
          <w:color w:val="000000" w:themeColor="text1"/>
          <w:sz w:val="20"/>
          <w:szCs w:val="20"/>
        </w:rPr>
        <w:instrText xml:space="preserve"> SEQ Figure \* ARABIC </w:instrText>
      </w:r>
      <w:r w:rsidR="00EF653E" w:rsidRPr="00751D45">
        <w:rPr>
          <w:color w:val="000000" w:themeColor="text1"/>
          <w:sz w:val="20"/>
          <w:szCs w:val="20"/>
        </w:rPr>
        <w:fldChar w:fldCharType="separate"/>
      </w:r>
      <w:r w:rsidR="00751D45">
        <w:rPr>
          <w:noProof/>
          <w:color w:val="000000" w:themeColor="text1"/>
          <w:sz w:val="20"/>
          <w:szCs w:val="20"/>
        </w:rPr>
        <w:t>6</w:t>
      </w:r>
      <w:r w:rsidR="00EF653E" w:rsidRPr="00751D45">
        <w:rPr>
          <w:color w:val="000000" w:themeColor="text1"/>
          <w:sz w:val="20"/>
          <w:szCs w:val="20"/>
        </w:rPr>
        <w:fldChar w:fldCharType="end"/>
      </w:r>
      <w:bookmarkEnd w:id="15"/>
      <w:r w:rsidRPr="00751D45">
        <w:rPr>
          <w:color w:val="000000" w:themeColor="text1"/>
          <w:sz w:val="20"/>
          <w:szCs w:val="20"/>
          <w:lang w:val="en-GB"/>
        </w:rPr>
        <w:t xml:space="preserve">: A comparison between the average fuel </w:t>
      </w:r>
      <w:r w:rsidR="002404EC" w:rsidRPr="00751D45">
        <w:rPr>
          <w:color w:val="000000" w:themeColor="text1"/>
          <w:sz w:val="20"/>
          <w:szCs w:val="20"/>
          <w:lang w:val="en-GB"/>
        </w:rPr>
        <w:t>economy</w:t>
      </w:r>
      <w:r w:rsidRPr="00751D45">
        <w:rPr>
          <w:color w:val="000000" w:themeColor="text1"/>
          <w:sz w:val="20"/>
          <w:szCs w:val="20"/>
          <w:lang w:val="en-GB"/>
        </w:rPr>
        <w:t xml:space="preserve"> of new LDVs registered in Bahrain</w:t>
      </w:r>
      <w:r w:rsidR="00E43AC9" w:rsidRPr="00751D45">
        <w:rPr>
          <w:color w:val="000000" w:themeColor="text1"/>
          <w:sz w:val="20"/>
          <w:szCs w:val="20"/>
          <w:lang w:val="en-GB"/>
        </w:rPr>
        <w:t xml:space="preserve"> and</w:t>
      </w:r>
      <w:r w:rsidR="002404EC" w:rsidRPr="00751D45">
        <w:rPr>
          <w:color w:val="000000" w:themeColor="text1"/>
          <w:sz w:val="20"/>
          <w:szCs w:val="20"/>
          <w:lang w:val="en-GB"/>
        </w:rPr>
        <w:t xml:space="preserve"> USA</w:t>
      </w:r>
      <w:r w:rsidRPr="00751D45">
        <w:rPr>
          <w:color w:val="000000" w:themeColor="text1"/>
          <w:sz w:val="20"/>
          <w:szCs w:val="20"/>
          <w:lang w:val="en-GB"/>
        </w:rPr>
        <w:t xml:space="preserve"> in 2005, 2008, 2010 and 2012 (L/100 km, CAFE)</w:t>
      </w:r>
      <w:bookmarkEnd w:id="16"/>
    </w:p>
    <w:p w:rsidR="00421751" w:rsidRPr="00751D45" w:rsidRDefault="00421751" w:rsidP="00E43AC9">
      <w:pPr>
        <w:spacing w:after="0" w:line="240" w:lineRule="auto"/>
        <w:jc w:val="center"/>
        <w:rPr>
          <w:sz w:val="20"/>
          <w:szCs w:val="20"/>
          <w:lang w:val="en-GB"/>
        </w:rPr>
      </w:pPr>
      <w:r w:rsidRPr="00751D45">
        <w:rPr>
          <w:sz w:val="20"/>
          <w:szCs w:val="20"/>
          <w:lang w:val="en-GB"/>
        </w:rPr>
        <w:t xml:space="preserve">Source: </w:t>
      </w:r>
      <w:r w:rsidRPr="00751D45">
        <w:rPr>
          <w:sz w:val="20"/>
          <w:szCs w:val="20"/>
        </w:rPr>
        <w:t>RITA, 2013</w:t>
      </w:r>
    </w:p>
    <w:p w:rsidR="001E4398" w:rsidRPr="00751D45" w:rsidRDefault="001E4398" w:rsidP="001E4398">
      <w:pPr>
        <w:spacing w:after="0" w:line="240" w:lineRule="auto"/>
        <w:jc w:val="center"/>
        <w:rPr>
          <w:sz w:val="20"/>
          <w:szCs w:val="20"/>
        </w:rPr>
      </w:pPr>
    </w:p>
    <w:p w:rsidR="00E43AC9" w:rsidRPr="00751D45" w:rsidRDefault="00E43AC9" w:rsidP="00E43AC9">
      <w:pPr>
        <w:keepNext/>
        <w:spacing w:after="0" w:line="240" w:lineRule="auto"/>
        <w:jc w:val="both"/>
      </w:pPr>
      <w:r w:rsidRPr="00751D45">
        <w:rPr>
          <w:noProof/>
          <w:sz w:val="24"/>
          <w:szCs w:val="24"/>
        </w:rPr>
        <w:drawing>
          <wp:inline distT="0" distB="0" distL="0" distR="0">
            <wp:extent cx="5867400" cy="2743200"/>
            <wp:effectExtent l="19050" t="0" r="19050"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3AC9" w:rsidRPr="00751D45" w:rsidRDefault="00E43AC9" w:rsidP="002F4AEB">
      <w:pPr>
        <w:pStyle w:val="Caption"/>
        <w:spacing w:after="0"/>
        <w:jc w:val="center"/>
        <w:rPr>
          <w:color w:val="000000" w:themeColor="text1"/>
          <w:sz w:val="20"/>
          <w:szCs w:val="20"/>
          <w:lang w:val="en-GB"/>
        </w:rPr>
      </w:pPr>
      <w:bookmarkStart w:id="17" w:name="_Ref377543729"/>
      <w:bookmarkStart w:id="18" w:name="_Toc377544469"/>
      <w:r w:rsidRPr="00751D45">
        <w:rPr>
          <w:color w:val="000000" w:themeColor="text1"/>
          <w:sz w:val="20"/>
          <w:szCs w:val="20"/>
        </w:rPr>
        <w:t xml:space="preserve">Figure </w:t>
      </w:r>
      <w:r w:rsidR="00EF653E" w:rsidRPr="00751D45">
        <w:rPr>
          <w:color w:val="000000" w:themeColor="text1"/>
          <w:sz w:val="20"/>
          <w:szCs w:val="20"/>
        </w:rPr>
        <w:fldChar w:fldCharType="begin"/>
      </w:r>
      <w:r w:rsidRPr="00751D45">
        <w:rPr>
          <w:color w:val="000000" w:themeColor="text1"/>
          <w:sz w:val="20"/>
          <w:szCs w:val="20"/>
        </w:rPr>
        <w:instrText xml:space="preserve"> SEQ Figure \* ARABIC </w:instrText>
      </w:r>
      <w:r w:rsidR="00EF653E" w:rsidRPr="00751D45">
        <w:rPr>
          <w:color w:val="000000" w:themeColor="text1"/>
          <w:sz w:val="20"/>
          <w:szCs w:val="20"/>
        </w:rPr>
        <w:fldChar w:fldCharType="separate"/>
      </w:r>
      <w:r w:rsidR="00751D45">
        <w:rPr>
          <w:noProof/>
          <w:color w:val="000000" w:themeColor="text1"/>
          <w:sz w:val="20"/>
          <w:szCs w:val="20"/>
        </w:rPr>
        <w:t>7</w:t>
      </w:r>
      <w:r w:rsidR="00EF653E" w:rsidRPr="00751D45">
        <w:rPr>
          <w:color w:val="000000" w:themeColor="text1"/>
          <w:sz w:val="20"/>
          <w:szCs w:val="20"/>
        </w:rPr>
        <w:fldChar w:fldCharType="end"/>
      </w:r>
      <w:bookmarkEnd w:id="17"/>
      <w:r w:rsidRPr="00751D45">
        <w:rPr>
          <w:color w:val="000000" w:themeColor="text1"/>
          <w:sz w:val="20"/>
          <w:szCs w:val="20"/>
          <w:lang w:val="en-GB"/>
        </w:rPr>
        <w:t>: : A comparison between the average fuel economy of new LDVs registered in Bahrain, OECD, and non-OECD countries in 2005, 2008, 2010 and 2012 (L/100 km, NEDC)</w:t>
      </w:r>
      <w:bookmarkEnd w:id="18"/>
    </w:p>
    <w:p w:rsidR="00E43AC9" w:rsidRPr="00751D45" w:rsidRDefault="00E43AC9" w:rsidP="002F4AEB">
      <w:pPr>
        <w:spacing w:after="0" w:line="240" w:lineRule="auto"/>
        <w:jc w:val="center"/>
        <w:rPr>
          <w:color w:val="000000" w:themeColor="text1"/>
          <w:sz w:val="20"/>
          <w:szCs w:val="20"/>
          <w:lang w:val="en-GB"/>
        </w:rPr>
      </w:pPr>
      <w:r w:rsidRPr="00751D45">
        <w:rPr>
          <w:color w:val="000000" w:themeColor="text1"/>
          <w:sz w:val="20"/>
          <w:szCs w:val="20"/>
          <w:lang w:val="en-GB"/>
        </w:rPr>
        <w:t xml:space="preserve">Source: </w:t>
      </w:r>
      <w:r w:rsidRPr="00751D45">
        <w:rPr>
          <w:rFonts w:cs="Times New Roman"/>
          <w:color w:val="000000" w:themeColor="text1"/>
          <w:sz w:val="20"/>
          <w:szCs w:val="20"/>
        </w:rPr>
        <w:t>GFEI, 2013b</w:t>
      </w:r>
    </w:p>
    <w:p w:rsidR="00E43AC9" w:rsidRPr="00751D45" w:rsidRDefault="00E43AC9" w:rsidP="001E4398">
      <w:pPr>
        <w:spacing w:after="0" w:line="240" w:lineRule="auto"/>
        <w:jc w:val="both"/>
        <w:rPr>
          <w:sz w:val="24"/>
          <w:szCs w:val="24"/>
        </w:rPr>
      </w:pPr>
    </w:p>
    <w:p w:rsidR="001E4398" w:rsidRPr="00751D45" w:rsidRDefault="001E4398" w:rsidP="00E5499A">
      <w:pPr>
        <w:spacing w:after="0" w:line="240" w:lineRule="auto"/>
        <w:jc w:val="both"/>
        <w:rPr>
          <w:sz w:val="24"/>
          <w:szCs w:val="24"/>
        </w:rPr>
      </w:pPr>
      <w:r w:rsidRPr="00751D45">
        <w:rPr>
          <w:sz w:val="24"/>
          <w:szCs w:val="24"/>
        </w:rPr>
        <w:t>The study also reveals that the average CO</w:t>
      </w:r>
      <w:r w:rsidRPr="00751D45">
        <w:rPr>
          <w:sz w:val="24"/>
          <w:szCs w:val="24"/>
          <w:vertAlign w:val="subscript"/>
        </w:rPr>
        <w:t>2</w:t>
      </w:r>
      <w:r w:rsidRPr="00751D45">
        <w:rPr>
          <w:sz w:val="24"/>
          <w:szCs w:val="24"/>
        </w:rPr>
        <w:t xml:space="preserve"> emissions for new LDVs in Bahrain has decreased by 7% in 2012 compared to 2005 </w:t>
      </w:r>
      <w:r w:rsidRPr="00E5499A">
        <w:rPr>
          <w:sz w:val="24"/>
          <w:szCs w:val="24"/>
        </w:rPr>
        <w:t>(</w:t>
      </w:r>
      <w:r w:rsidR="00784E68">
        <w:fldChar w:fldCharType="begin"/>
      </w:r>
      <w:r w:rsidR="00784E68">
        <w:instrText xml:space="preserve"> REF _Ref377455459 \h  \* MERGEFORMAT </w:instrText>
      </w:r>
      <w:r w:rsidR="00784E68">
        <w:fldChar w:fldCharType="separate"/>
      </w:r>
      <w:r w:rsidR="00E5499A" w:rsidRPr="00E5499A">
        <w:rPr>
          <w:color w:val="000000" w:themeColor="text1"/>
          <w:sz w:val="24"/>
          <w:szCs w:val="24"/>
        </w:rPr>
        <w:t>Figure 5</w:t>
      </w:r>
      <w:r w:rsidR="00784E68">
        <w:fldChar w:fldCharType="end"/>
      </w:r>
      <w:r w:rsidRPr="00E5499A">
        <w:rPr>
          <w:sz w:val="24"/>
          <w:szCs w:val="24"/>
        </w:rPr>
        <w:t>).</w:t>
      </w:r>
      <w:r w:rsidRPr="00751D45">
        <w:rPr>
          <w:sz w:val="24"/>
          <w:szCs w:val="24"/>
        </w:rPr>
        <w:t xml:space="preserve"> However, a slight increase in the emissions has again occurred in 2005 and 2008.</w:t>
      </w:r>
    </w:p>
    <w:p w:rsidR="001E4398" w:rsidRPr="00751D45" w:rsidRDefault="001E4398" w:rsidP="001E4398">
      <w:pPr>
        <w:spacing w:after="0" w:line="240" w:lineRule="auto"/>
        <w:jc w:val="both"/>
        <w:rPr>
          <w:sz w:val="24"/>
          <w:szCs w:val="24"/>
        </w:rPr>
      </w:pPr>
    </w:p>
    <w:p w:rsidR="001E4398" w:rsidRPr="00751D45" w:rsidRDefault="00784E68" w:rsidP="001E4398">
      <w:pPr>
        <w:spacing w:after="0" w:line="240" w:lineRule="auto"/>
        <w:jc w:val="both"/>
        <w:rPr>
          <w:rFonts w:cs="Times New Roman"/>
          <w:color w:val="FF0000"/>
          <w:sz w:val="24"/>
          <w:szCs w:val="24"/>
        </w:rPr>
      </w:pPr>
      <w:r>
        <w:fldChar w:fldCharType="begin"/>
      </w:r>
      <w:r>
        <w:instrText xml:space="preserve"> REF _Ref377543791 \h  \* MERGEFORMAT </w:instrText>
      </w:r>
      <w:r>
        <w:fldChar w:fldCharType="separate"/>
      </w:r>
      <w:r w:rsidR="00E5499A" w:rsidRPr="00E5499A">
        <w:rPr>
          <w:color w:val="000000" w:themeColor="text1"/>
          <w:sz w:val="24"/>
          <w:szCs w:val="24"/>
        </w:rPr>
        <w:t>Figure 8</w:t>
      </w:r>
      <w:r>
        <w:fldChar w:fldCharType="end"/>
      </w:r>
      <w:r w:rsidR="001E4398" w:rsidRPr="00E5499A">
        <w:rPr>
          <w:rFonts w:cs="Times New Roman"/>
          <w:sz w:val="24"/>
          <w:szCs w:val="24"/>
        </w:rPr>
        <w:t xml:space="preserve"> shows t</w:t>
      </w:r>
      <w:r w:rsidR="001E4398" w:rsidRPr="00751D45">
        <w:rPr>
          <w:rFonts w:cs="Times New Roman"/>
          <w:sz w:val="24"/>
          <w:szCs w:val="24"/>
        </w:rPr>
        <w:t xml:space="preserve">hat apparent variations exist between the EU figures and Bahrain’s calculated numbers. The calculated numbers for Bahrain are considerably higher than that of the EU (EEA, </w:t>
      </w:r>
      <w:r w:rsidR="001E4398" w:rsidRPr="00751D45">
        <w:rPr>
          <w:rFonts w:cs="Times New Roman"/>
          <w:sz w:val="24"/>
          <w:szCs w:val="24"/>
        </w:rPr>
        <w:lastRenderedPageBreak/>
        <w:t>2013). This could be a result of number of factors</w:t>
      </w:r>
      <w:r w:rsidR="00AD28B0" w:rsidRPr="00751D45">
        <w:rPr>
          <w:rFonts w:cs="Times New Roman"/>
          <w:sz w:val="24"/>
          <w:szCs w:val="24"/>
        </w:rPr>
        <w:t xml:space="preserve"> that affect the engine size and performance</w:t>
      </w:r>
      <w:r w:rsidR="001E4398" w:rsidRPr="00751D45">
        <w:rPr>
          <w:rFonts w:cs="Times New Roman"/>
          <w:sz w:val="24"/>
          <w:szCs w:val="24"/>
        </w:rPr>
        <w:t xml:space="preserve"> including dissimilar weather, consumption patterns, alternative modes of transportation, and CO</w:t>
      </w:r>
      <w:r w:rsidR="001E4398" w:rsidRPr="00751D45">
        <w:rPr>
          <w:rFonts w:cs="Times New Roman"/>
          <w:sz w:val="24"/>
          <w:szCs w:val="24"/>
          <w:vertAlign w:val="subscript"/>
        </w:rPr>
        <w:t>2</w:t>
      </w:r>
      <w:r w:rsidR="001E4398" w:rsidRPr="00751D45">
        <w:rPr>
          <w:rFonts w:cs="Times New Roman"/>
          <w:sz w:val="24"/>
          <w:szCs w:val="24"/>
        </w:rPr>
        <w:t xml:space="preserve"> emissions standards.  </w:t>
      </w:r>
    </w:p>
    <w:p w:rsidR="001E4398" w:rsidRPr="00751D45" w:rsidRDefault="001E4398" w:rsidP="001E4398">
      <w:pPr>
        <w:spacing w:after="0" w:line="240" w:lineRule="auto"/>
        <w:jc w:val="both"/>
        <w:rPr>
          <w:rFonts w:cs="Times New Roman"/>
          <w:color w:val="FF0000"/>
          <w:sz w:val="20"/>
          <w:szCs w:val="20"/>
        </w:rPr>
      </w:pPr>
    </w:p>
    <w:p w:rsidR="005B3A05" w:rsidRPr="00751D45" w:rsidRDefault="005B3A05" w:rsidP="005B3A05">
      <w:pPr>
        <w:keepNext/>
        <w:spacing w:after="0" w:line="240" w:lineRule="auto"/>
        <w:jc w:val="both"/>
      </w:pPr>
      <w:r w:rsidRPr="00751D45">
        <w:rPr>
          <w:rFonts w:cs="Times New Roman"/>
          <w:noProof/>
          <w:color w:val="FF0000"/>
          <w:sz w:val="20"/>
          <w:szCs w:val="20"/>
        </w:rPr>
        <w:drawing>
          <wp:inline distT="0" distB="0" distL="0" distR="0">
            <wp:extent cx="5895975" cy="2743200"/>
            <wp:effectExtent l="19050" t="0" r="9525"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3A05" w:rsidRDefault="005B3A05" w:rsidP="005B3A05">
      <w:pPr>
        <w:pStyle w:val="Caption"/>
        <w:spacing w:after="0"/>
        <w:jc w:val="center"/>
        <w:rPr>
          <w:color w:val="000000" w:themeColor="text1"/>
          <w:sz w:val="20"/>
          <w:szCs w:val="20"/>
          <w:lang w:val="en-GB"/>
        </w:rPr>
      </w:pPr>
      <w:bookmarkStart w:id="19" w:name="_Ref377543791"/>
      <w:bookmarkStart w:id="20" w:name="_Toc377544470"/>
      <w:r w:rsidRPr="00751D45">
        <w:rPr>
          <w:color w:val="000000" w:themeColor="text1"/>
          <w:sz w:val="20"/>
          <w:szCs w:val="20"/>
        </w:rPr>
        <w:t xml:space="preserve">Figure </w:t>
      </w:r>
      <w:r w:rsidR="00EF653E" w:rsidRPr="00751D45">
        <w:rPr>
          <w:color w:val="000000" w:themeColor="text1"/>
          <w:sz w:val="20"/>
          <w:szCs w:val="20"/>
        </w:rPr>
        <w:fldChar w:fldCharType="begin"/>
      </w:r>
      <w:r w:rsidRPr="00751D45">
        <w:rPr>
          <w:color w:val="000000" w:themeColor="text1"/>
          <w:sz w:val="20"/>
          <w:szCs w:val="20"/>
        </w:rPr>
        <w:instrText xml:space="preserve"> SEQ Figure \* ARABIC </w:instrText>
      </w:r>
      <w:r w:rsidR="00EF653E" w:rsidRPr="00751D45">
        <w:rPr>
          <w:color w:val="000000" w:themeColor="text1"/>
          <w:sz w:val="20"/>
          <w:szCs w:val="20"/>
        </w:rPr>
        <w:fldChar w:fldCharType="separate"/>
      </w:r>
      <w:r w:rsidR="00751D45">
        <w:rPr>
          <w:noProof/>
          <w:color w:val="000000" w:themeColor="text1"/>
          <w:sz w:val="20"/>
          <w:szCs w:val="20"/>
        </w:rPr>
        <w:t>8</w:t>
      </w:r>
      <w:r w:rsidR="00EF653E" w:rsidRPr="00751D45">
        <w:rPr>
          <w:color w:val="000000" w:themeColor="text1"/>
          <w:sz w:val="20"/>
          <w:szCs w:val="20"/>
        </w:rPr>
        <w:fldChar w:fldCharType="end"/>
      </w:r>
      <w:bookmarkEnd w:id="19"/>
      <w:r w:rsidRPr="00751D45">
        <w:rPr>
          <w:color w:val="000000" w:themeColor="text1"/>
          <w:sz w:val="20"/>
          <w:szCs w:val="20"/>
          <w:lang w:val="en-GB"/>
        </w:rPr>
        <w:t>: A comparison between the average CO2 emissions from new models of passenger vehicles in the EU and Bahrain in 2005, 2008, 2010 and 2012 (g CO2/km)</w:t>
      </w:r>
      <w:bookmarkEnd w:id="20"/>
    </w:p>
    <w:p w:rsidR="001A7B62" w:rsidRPr="001A7B62" w:rsidRDefault="001939AC" w:rsidP="001A7B62">
      <w:pPr>
        <w:spacing w:after="0" w:line="240" w:lineRule="auto"/>
        <w:jc w:val="center"/>
        <w:rPr>
          <w:lang w:val="en-GB"/>
        </w:rPr>
      </w:pPr>
      <w:r>
        <w:rPr>
          <w:rFonts w:cs="Times New Roman"/>
          <w:sz w:val="20"/>
          <w:szCs w:val="20"/>
        </w:rPr>
        <w:t xml:space="preserve">Source: </w:t>
      </w:r>
      <w:r w:rsidR="001A7B62" w:rsidRPr="001A7B62">
        <w:rPr>
          <w:rFonts w:cs="Times New Roman"/>
          <w:sz w:val="20"/>
          <w:szCs w:val="20"/>
        </w:rPr>
        <w:t>EEA, 2013</w:t>
      </w:r>
    </w:p>
    <w:p w:rsidR="005B3A05" w:rsidRPr="00751D45" w:rsidRDefault="005B3A05" w:rsidP="001E4398">
      <w:pPr>
        <w:spacing w:after="0" w:line="240" w:lineRule="auto"/>
        <w:jc w:val="both"/>
        <w:rPr>
          <w:rFonts w:cs="Times New Roman"/>
          <w:color w:val="FF0000"/>
          <w:sz w:val="20"/>
          <w:szCs w:val="20"/>
        </w:rPr>
      </w:pPr>
    </w:p>
    <w:p w:rsidR="00482F04" w:rsidRPr="00751D45" w:rsidRDefault="00482F04" w:rsidP="007412E3">
      <w:pPr>
        <w:spacing w:after="0" w:line="240" w:lineRule="auto"/>
        <w:jc w:val="both"/>
        <w:rPr>
          <w:sz w:val="24"/>
          <w:szCs w:val="24"/>
        </w:rPr>
      </w:pPr>
      <w:r w:rsidRPr="00751D45">
        <w:rPr>
          <w:sz w:val="24"/>
          <w:szCs w:val="24"/>
        </w:rPr>
        <w:t>The</w:t>
      </w:r>
      <w:r w:rsidR="00186322" w:rsidRPr="00751D45">
        <w:rPr>
          <w:sz w:val="24"/>
          <w:szCs w:val="24"/>
        </w:rPr>
        <w:t xml:space="preserve"> study </w:t>
      </w:r>
      <w:r w:rsidR="00CE2BF2" w:rsidRPr="00751D45">
        <w:rPr>
          <w:sz w:val="24"/>
          <w:szCs w:val="24"/>
        </w:rPr>
        <w:t xml:space="preserve">results </w:t>
      </w:r>
      <w:r w:rsidR="00186322" w:rsidRPr="00751D45">
        <w:rPr>
          <w:sz w:val="24"/>
          <w:szCs w:val="24"/>
        </w:rPr>
        <w:t>show that the</w:t>
      </w:r>
      <w:r w:rsidR="00242EB5" w:rsidRPr="00751D45">
        <w:rPr>
          <w:sz w:val="24"/>
          <w:szCs w:val="24"/>
        </w:rPr>
        <w:t xml:space="preserve"> number</w:t>
      </w:r>
      <w:r w:rsidR="007D0D29" w:rsidRPr="00751D45">
        <w:rPr>
          <w:sz w:val="24"/>
          <w:szCs w:val="24"/>
        </w:rPr>
        <w:t xml:space="preserve"> of new</w:t>
      </w:r>
      <w:r w:rsidRPr="00751D45">
        <w:rPr>
          <w:sz w:val="24"/>
          <w:szCs w:val="24"/>
        </w:rPr>
        <w:t xml:space="preserve"> vehicles in Bahrain </w:t>
      </w:r>
      <w:r w:rsidR="004D0633" w:rsidRPr="00751D45">
        <w:rPr>
          <w:sz w:val="24"/>
          <w:szCs w:val="24"/>
        </w:rPr>
        <w:t xml:space="preserve">has </w:t>
      </w:r>
      <w:r w:rsidR="007D0D29" w:rsidRPr="00751D45">
        <w:rPr>
          <w:sz w:val="24"/>
          <w:szCs w:val="24"/>
        </w:rPr>
        <w:t xml:space="preserve">grown </w:t>
      </w:r>
      <w:r w:rsidR="004D0633" w:rsidRPr="00751D45">
        <w:rPr>
          <w:sz w:val="24"/>
          <w:szCs w:val="24"/>
        </w:rPr>
        <w:t xml:space="preserve">by </w:t>
      </w:r>
      <w:r w:rsidR="0003051E" w:rsidRPr="00751D45">
        <w:rPr>
          <w:sz w:val="24"/>
          <w:szCs w:val="24"/>
        </w:rPr>
        <w:t>19.8</w:t>
      </w:r>
      <w:r w:rsidR="0084772E" w:rsidRPr="00751D45">
        <w:rPr>
          <w:sz w:val="24"/>
          <w:szCs w:val="24"/>
        </w:rPr>
        <w:t xml:space="preserve"> % </w:t>
      </w:r>
      <w:r w:rsidR="0003051E" w:rsidRPr="00751D45">
        <w:rPr>
          <w:sz w:val="24"/>
          <w:szCs w:val="24"/>
        </w:rPr>
        <w:t>in</w:t>
      </w:r>
      <w:r w:rsidR="0084772E" w:rsidRPr="00751D45">
        <w:rPr>
          <w:sz w:val="24"/>
          <w:szCs w:val="24"/>
        </w:rPr>
        <w:t xml:space="preserve"> 2012</w:t>
      </w:r>
      <w:r w:rsidR="0003051E" w:rsidRPr="00751D45">
        <w:rPr>
          <w:sz w:val="24"/>
          <w:szCs w:val="24"/>
        </w:rPr>
        <w:t xml:space="preserve"> compared to 2005</w:t>
      </w:r>
      <w:r w:rsidR="0084772E" w:rsidRPr="00751D45">
        <w:rPr>
          <w:sz w:val="24"/>
          <w:szCs w:val="24"/>
        </w:rPr>
        <w:t xml:space="preserve"> with </w:t>
      </w:r>
      <w:r w:rsidR="00A270F6" w:rsidRPr="00751D45">
        <w:rPr>
          <w:sz w:val="24"/>
          <w:szCs w:val="24"/>
        </w:rPr>
        <w:t xml:space="preserve">LDVs making </w:t>
      </w:r>
      <w:r w:rsidR="00AC5542" w:rsidRPr="00751D45">
        <w:rPr>
          <w:sz w:val="24"/>
          <w:szCs w:val="24"/>
        </w:rPr>
        <w:t>82</w:t>
      </w:r>
      <w:r w:rsidR="00DF79D7" w:rsidRPr="00751D45">
        <w:rPr>
          <w:sz w:val="24"/>
          <w:szCs w:val="24"/>
        </w:rPr>
        <w:t xml:space="preserve"> % in </w:t>
      </w:r>
      <w:r w:rsidR="00DF79D7" w:rsidRPr="007412E3">
        <w:rPr>
          <w:sz w:val="24"/>
          <w:szCs w:val="24"/>
        </w:rPr>
        <w:t>average (</w:t>
      </w:r>
      <w:r w:rsidR="00784E68">
        <w:fldChar w:fldCharType="begin"/>
      </w:r>
      <w:r w:rsidR="00784E68">
        <w:instrText xml:space="preserve"> REF _Ref377543882 \h  \* MERGEFORMAT </w:instrText>
      </w:r>
      <w:r w:rsidR="00784E68">
        <w:fldChar w:fldCharType="separate"/>
      </w:r>
      <w:r w:rsidR="007412E3" w:rsidRPr="007412E3">
        <w:rPr>
          <w:color w:val="000000" w:themeColor="text1"/>
          <w:sz w:val="24"/>
          <w:szCs w:val="24"/>
        </w:rPr>
        <w:t>Figure 9</w:t>
      </w:r>
      <w:r w:rsidR="00784E68">
        <w:fldChar w:fldCharType="end"/>
      </w:r>
      <w:r w:rsidR="00DF79D7" w:rsidRPr="00751D45">
        <w:rPr>
          <w:sz w:val="24"/>
          <w:szCs w:val="24"/>
        </w:rPr>
        <w:t xml:space="preserve">). </w:t>
      </w:r>
      <w:r w:rsidR="000F7086" w:rsidRPr="00751D45">
        <w:rPr>
          <w:sz w:val="24"/>
          <w:szCs w:val="24"/>
        </w:rPr>
        <w:t xml:space="preserve">New LDVs in Bahrain rely heavily on </w:t>
      </w:r>
      <w:r w:rsidR="000F7086" w:rsidRPr="00EC09A7">
        <w:rPr>
          <w:sz w:val="24"/>
          <w:szCs w:val="24"/>
        </w:rPr>
        <w:t>gasoline as it makes</w:t>
      </w:r>
      <w:r w:rsidR="0016227A" w:rsidRPr="00EC09A7">
        <w:rPr>
          <w:sz w:val="24"/>
          <w:szCs w:val="24"/>
        </w:rPr>
        <w:t xml:space="preserve"> more than 99</w:t>
      </w:r>
      <w:r w:rsidR="000F7086" w:rsidRPr="00EC09A7">
        <w:rPr>
          <w:sz w:val="24"/>
          <w:szCs w:val="24"/>
        </w:rPr>
        <w:t xml:space="preserve"> % of the total number, while</w:t>
      </w:r>
      <w:r w:rsidR="000F7086" w:rsidRPr="00751D45">
        <w:rPr>
          <w:sz w:val="24"/>
          <w:szCs w:val="24"/>
        </w:rPr>
        <w:t xml:space="preserve"> </w:t>
      </w:r>
      <w:r w:rsidR="006B5140" w:rsidRPr="00751D45">
        <w:rPr>
          <w:sz w:val="24"/>
          <w:szCs w:val="24"/>
        </w:rPr>
        <w:t xml:space="preserve">the remaining share </w:t>
      </w:r>
      <w:r w:rsidR="00ED0A91" w:rsidRPr="00751D45">
        <w:rPr>
          <w:sz w:val="24"/>
          <w:szCs w:val="24"/>
        </w:rPr>
        <w:t>uses</w:t>
      </w:r>
      <w:r w:rsidR="000F7086" w:rsidRPr="00751D45">
        <w:rPr>
          <w:sz w:val="24"/>
          <w:szCs w:val="24"/>
        </w:rPr>
        <w:t xml:space="preserve"> diesel.</w:t>
      </w:r>
    </w:p>
    <w:p w:rsidR="004B6F88" w:rsidRPr="00751D45" w:rsidRDefault="004B6F88" w:rsidP="00CE2BF2">
      <w:pPr>
        <w:spacing w:after="0" w:line="240" w:lineRule="auto"/>
        <w:jc w:val="both"/>
        <w:rPr>
          <w:sz w:val="24"/>
          <w:szCs w:val="24"/>
        </w:rPr>
      </w:pPr>
    </w:p>
    <w:p w:rsidR="005F553E" w:rsidRPr="00751D45" w:rsidRDefault="004B6F88" w:rsidP="005F553E">
      <w:pPr>
        <w:keepNext/>
        <w:spacing w:after="0" w:line="240" w:lineRule="auto"/>
        <w:jc w:val="both"/>
      </w:pPr>
      <w:r w:rsidRPr="00751D45">
        <w:rPr>
          <w:noProof/>
          <w:sz w:val="24"/>
          <w:szCs w:val="24"/>
        </w:rPr>
        <w:drawing>
          <wp:inline distT="0" distB="0" distL="0" distR="0">
            <wp:extent cx="5895975" cy="2790825"/>
            <wp:effectExtent l="19050" t="0" r="9525"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6F88" w:rsidRPr="00751D45" w:rsidRDefault="005F553E" w:rsidP="005F553E">
      <w:pPr>
        <w:pStyle w:val="Caption"/>
        <w:spacing w:after="0"/>
        <w:jc w:val="center"/>
        <w:rPr>
          <w:color w:val="000000" w:themeColor="text1"/>
          <w:sz w:val="20"/>
          <w:szCs w:val="20"/>
        </w:rPr>
      </w:pPr>
      <w:bookmarkStart w:id="21" w:name="_Ref377543882"/>
      <w:bookmarkStart w:id="22" w:name="_Toc377544471"/>
      <w:r w:rsidRPr="00751D45">
        <w:rPr>
          <w:color w:val="000000" w:themeColor="text1"/>
          <w:sz w:val="20"/>
          <w:szCs w:val="20"/>
        </w:rPr>
        <w:t xml:space="preserve">Figure </w:t>
      </w:r>
      <w:r w:rsidR="00EF653E" w:rsidRPr="00751D45">
        <w:rPr>
          <w:color w:val="000000" w:themeColor="text1"/>
          <w:sz w:val="20"/>
          <w:szCs w:val="20"/>
        </w:rPr>
        <w:fldChar w:fldCharType="begin"/>
      </w:r>
      <w:r w:rsidRPr="00751D45">
        <w:rPr>
          <w:color w:val="000000" w:themeColor="text1"/>
          <w:sz w:val="20"/>
          <w:szCs w:val="20"/>
        </w:rPr>
        <w:instrText xml:space="preserve"> SEQ Figure \* ARABIC </w:instrText>
      </w:r>
      <w:r w:rsidR="00EF653E" w:rsidRPr="00751D45">
        <w:rPr>
          <w:color w:val="000000" w:themeColor="text1"/>
          <w:sz w:val="20"/>
          <w:szCs w:val="20"/>
        </w:rPr>
        <w:fldChar w:fldCharType="separate"/>
      </w:r>
      <w:r w:rsidR="00751D45">
        <w:rPr>
          <w:noProof/>
          <w:color w:val="000000" w:themeColor="text1"/>
          <w:sz w:val="20"/>
          <w:szCs w:val="20"/>
        </w:rPr>
        <w:t>9</w:t>
      </w:r>
      <w:r w:rsidR="00EF653E" w:rsidRPr="00751D45">
        <w:rPr>
          <w:color w:val="000000" w:themeColor="text1"/>
          <w:sz w:val="20"/>
          <w:szCs w:val="20"/>
        </w:rPr>
        <w:fldChar w:fldCharType="end"/>
      </w:r>
      <w:bookmarkEnd w:id="21"/>
      <w:r w:rsidRPr="00751D45">
        <w:rPr>
          <w:color w:val="000000" w:themeColor="text1"/>
          <w:sz w:val="20"/>
          <w:szCs w:val="20"/>
          <w:lang w:val="en-GB"/>
        </w:rPr>
        <w:t>: Total new LDVs and other types in Bahrain in 2005, 2008, 2010 and 2012</w:t>
      </w:r>
      <w:bookmarkEnd w:id="22"/>
    </w:p>
    <w:p w:rsidR="00EC3386" w:rsidRPr="00751D45" w:rsidRDefault="00EC3386" w:rsidP="003505A7">
      <w:pPr>
        <w:spacing w:after="0" w:line="240" w:lineRule="auto"/>
        <w:jc w:val="both"/>
        <w:rPr>
          <w:sz w:val="24"/>
          <w:szCs w:val="24"/>
        </w:rPr>
      </w:pPr>
    </w:p>
    <w:p w:rsidR="000F7086" w:rsidRPr="00751D45" w:rsidRDefault="000F7086" w:rsidP="00CE2276">
      <w:pPr>
        <w:spacing w:after="0" w:line="240" w:lineRule="auto"/>
        <w:jc w:val="both"/>
        <w:rPr>
          <w:sz w:val="24"/>
          <w:szCs w:val="24"/>
        </w:rPr>
      </w:pPr>
      <w:r w:rsidRPr="00751D45">
        <w:rPr>
          <w:sz w:val="24"/>
          <w:szCs w:val="24"/>
        </w:rPr>
        <w:lastRenderedPageBreak/>
        <w:t xml:space="preserve">The average curb weight of new LDVs has increased over the </w:t>
      </w:r>
      <w:r w:rsidR="00A75741" w:rsidRPr="00751D45">
        <w:rPr>
          <w:sz w:val="24"/>
          <w:szCs w:val="24"/>
        </w:rPr>
        <w:t xml:space="preserve">study </w:t>
      </w:r>
      <w:r w:rsidRPr="00751D45">
        <w:rPr>
          <w:sz w:val="24"/>
          <w:szCs w:val="24"/>
        </w:rPr>
        <w:t xml:space="preserve">period reaching </w:t>
      </w:r>
      <w:r w:rsidR="00C843F8" w:rsidRPr="00751D45">
        <w:rPr>
          <w:sz w:val="24"/>
          <w:szCs w:val="24"/>
        </w:rPr>
        <w:t>1718</w:t>
      </w:r>
      <w:r w:rsidRPr="00751D45">
        <w:rPr>
          <w:sz w:val="24"/>
          <w:szCs w:val="24"/>
        </w:rPr>
        <w:t xml:space="preserve"> kg in 2012 compared to </w:t>
      </w:r>
      <w:r w:rsidR="00C843F8" w:rsidRPr="00751D45">
        <w:rPr>
          <w:sz w:val="24"/>
          <w:szCs w:val="24"/>
        </w:rPr>
        <w:t>1685</w:t>
      </w:r>
      <w:r w:rsidRPr="00751D45">
        <w:rPr>
          <w:sz w:val="24"/>
          <w:szCs w:val="24"/>
        </w:rPr>
        <w:t xml:space="preserve"> kg in </w:t>
      </w:r>
      <w:r w:rsidRPr="00CE2276">
        <w:rPr>
          <w:sz w:val="24"/>
          <w:szCs w:val="24"/>
        </w:rPr>
        <w:t>2005</w:t>
      </w:r>
      <w:r w:rsidR="0014055C" w:rsidRPr="00CE2276">
        <w:rPr>
          <w:sz w:val="24"/>
          <w:szCs w:val="24"/>
        </w:rPr>
        <w:t xml:space="preserve"> (</w:t>
      </w:r>
      <w:r w:rsidR="00784E68">
        <w:fldChar w:fldCharType="begin"/>
      </w:r>
      <w:r w:rsidR="00784E68">
        <w:instrText xml:space="preserve"> REF _Ref377543936 \h  \* MERGEFORMAT </w:instrText>
      </w:r>
      <w:r w:rsidR="00784E68">
        <w:fldChar w:fldCharType="separate"/>
      </w:r>
      <w:r w:rsidR="00CE2276" w:rsidRPr="00CE2276">
        <w:rPr>
          <w:color w:val="000000" w:themeColor="text1"/>
          <w:sz w:val="24"/>
          <w:szCs w:val="24"/>
        </w:rPr>
        <w:t xml:space="preserve">Figure </w:t>
      </w:r>
      <w:r w:rsidR="00CE2276" w:rsidRPr="00CE2276">
        <w:rPr>
          <w:noProof/>
          <w:color w:val="000000" w:themeColor="text1"/>
          <w:sz w:val="24"/>
          <w:szCs w:val="24"/>
        </w:rPr>
        <w:t>10</w:t>
      </w:r>
      <w:r w:rsidR="00784E68">
        <w:fldChar w:fldCharType="end"/>
      </w:r>
      <w:r w:rsidR="0014055C" w:rsidRPr="00CE2276">
        <w:rPr>
          <w:sz w:val="24"/>
          <w:szCs w:val="24"/>
        </w:rPr>
        <w:t>)</w:t>
      </w:r>
      <w:r w:rsidRPr="00CE2276">
        <w:rPr>
          <w:sz w:val="24"/>
          <w:szCs w:val="24"/>
        </w:rPr>
        <w:t>.</w:t>
      </w:r>
      <w:r w:rsidRPr="00751D45">
        <w:rPr>
          <w:sz w:val="24"/>
          <w:szCs w:val="24"/>
        </w:rPr>
        <w:t xml:space="preserve"> </w:t>
      </w:r>
      <w:r w:rsidR="00C87FF5" w:rsidRPr="00751D45">
        <w:rPr>
          <w:sz w:val="24"/>
          <w:szCs w:val="24"/>
        </w:rPr>
        <w:t xml:space="preserve">These figures indicate that the new LDVs in Bahrain are growing in weight as predicted </w:t>
      </w:r>
      <w:r w:rsidR="00815178" w:rsidRPr="00751D45">
        <w:rPr>
          <w:sz w:val="24"/>
          <w:szCs w:val="24"/>
        </w:rPr>
        <w:t>by</w:t>
      </w:r>
      <w:r w:rsidR="00C87FF5" w:rsidRPr="00751D45">
        <w:rPr>
          <w:sz w:val="24"/>
          <w:szCs w:val="24"/>
        </w:rPr>
        <w:t xml:space="preserve"> </w:t>
      </w:r>
      <w:r w:rsidR="00C87FF5" w:rsidRPr="00751D45">
        <w:rPr>
          <w:rFonts w:cs="Times New Roman"/>
          <w:sz w:val="24"/>
          <w:szCs w:val="24"/>
        </w:rPr>
        <w:t xml:space="preserve">Alnaser (1995) and Eltony (1996) and </w:t>
      </w:r>
      <w:r w:rsidR="00F07EA7" w:rsidRPr="00751D45">
        <w:rPr>
          <w:rFonts w:cs="Times New Roman"/>
          <w:sz w:val="24"/>
          <w:szCs w:val="24"/>
        </w:rPr>
        <w:t>evidenced</w:t>
      </w:r>
      <w:r w:rsidR="00C87FF5" w:rsidRPr="00751D45">
        <w:rPr>
          <w:rFonts w:cs="Times New Roman"/>
          <w:sz w:val="24"/>
          <w:szCs w:val="24"/>
        </w:rPr>
        <w:t xml:space="preserve"> </w:t>
      </w:r>
      <w:r w:rsidR="00815178" w:rsidRPr="00751D45">
        <w:rPr>
          <w:rFonts w:cs="Times New Roman"/>
          <w:sz w:val="24"/>
          <w:szCs w:val="24"/>
        </w:rPr>
        <w:t>by</w:t>
      </w:r>
      <w:r w:rsidR="00C87FF5" w:rsidRPr="00751D45">
        <w:rPr>
          <w:rFonts w:cs="Times New Roman"/>
          <w:sz w:val="24"/>
          <w:szCs w:val="24"/>
        </w:rPr>
        <w:t xml:space="preserve"> Alsabbagh et al. (2013)</w:t>
      </w:r>
      <w:r w:rsidR="00174512" w:rsidRPr="00751D45">
        <w:rPr>
          <w:sz w:val="24"/>
          <w:szCs w:val="24"/>
        </w:rPr>
        <w:t>.</w:t>
      </w:r>
      <w:r w:rsidR="00C87FF5" w:rsidRPr="00751D45">
        <w:rPr>
          <w:sz w:val="24"/>
          <w:szCs w:val="24"/>
        </w:rPr>
        <w:t xml:space="preserve"> </w:t>
      </w:r>
    </w:p>
    <w:p w:rsidR="00851DCB" w:rsidRPr="00751D45" w:rsidRDefault="00851DCB" w:rsidP="003505A7">
      <w:pPr>
        <w:spacing w:after="0" w:line="240" w:lineRule="auto"/>
        <w:jc w:val="both"/>
        <w:rPr>
          <w:sz w:val="24"/>
          <w:szCs w:val="24"/>
        </w:rPr>
      </w:pPr>
    </w:p>
    <w:p w:rsidR="009E1EAA" w:rsidRPr="00751D45" w:rsidRDefault="009E1EAA" w:rsidP="009E1EAA">
      <w:pPr>
        <w:keepNext/>
        <w:spacing w:after="0" w:line="240" w:lineRule="auto"/>
        <w:jc w:val="both"/>
      </w:pPr>
      <w:r w:rsidRPr="00751D45">
        <w:rPr>
          <w:noProof/>
          <w:sz w:val="24"/>
          <w:szCs w:val="24"/>
        </w:rPr>
        <w:drawing>
          <wp:inline distT="0" distB="0" distL="0" distR="0">
            <wp:extent cx="5915025" cy="2743200"/>
            <wp:effectExtent l="19050" t="0" r="9525"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E1EAA" w:rsidRPr="00751D45" w:rsidRDefault="009E1EAA" w:rsidP="009E1EAA">
      <w:pPr>
        <w:pStyle w:val="Caption"/>
        <w:spacing w:after="0"/>
        <w:jc w:val="center"/>
        <w:rPr>
          <w:color w:val="000000" w:themeColor="text1"/>
          <w:sz w:val="20"/>
          <w:szCs w:val="20"/>
        </w:rPr>
      </w:pPr>
      <w:bookmarkStart w:id="23" w:name="_Ref377543936"/>
      <w:bookmarkStart w:id="24" w:name="_Toc377544472"/>
      <w:r w:rsidRPr="00751D45">
        <w:rPr>
          <w:color w:val="000000" w:themeColor="text1"/>
          <w:sz w:val="20"/>
          <w:szCs w:val="20"/>
        </w:rPr>
        <w:t xml:space="preserve">Figure </w:t>
      </w:r>
      <w:r w:rsidR="00EF653E" w:rsidRPr="00751D45">
        <w:rPr>
          <w:color w:val="000000" w:themeColor="text1"/>
          <w:sz w:val="20"/>
          <w:szCs w:val="20"/>
        </w:rPr>
        <w:fldChar w:fldCharType="begin"/>
      </w:r>
      <w:r w:rsidRPr="00751D45">
        <w:rPr>
          <w:color w:val="000000" w:themeColor="text1"/>
          <w:sz w:val="20"/>
          <w:szCs w:val="20"/>
        </w:rPr>
        <w:instrText xml:space="preserve"> SEQ Figure \* ARABIC </w:instrText>
      </w:r>
      <w:r w:rsidR="00EF653E" w:rsidRPr="00751D45">
        <w:rPr>
          <w:color w:val="000000" w:themeColor="text1"/>
          <w:sz w:val="20"/>
          <w:szCs w:val="20"/>
        </w:rPr>
        <w:fldChar w:fldCharType="separate"/>
      </w:r>
      <w:r w:rsidR="00751D45">
        <w:rPr>
          <w:noProof/>
          <w:color w:val="000000" w:themeColor="text1"/>
          <w:sz w:val="20"/>
          <w:szCs w:val="20"/>
        </w:rPr>
        <w:t>10</w:t>
      </w:r>
      <w:r w:rsidR="00EF653E" w:rsidRPr="00751D45">
        <w:rPr>
          <w:color w:val="000000" w:themeColor="text1"/>
          <w:sz w:val="20"/>
          <w:szCs w:val="20"/>
        </w:rPr>
        <w:fldChar w:fldCharType="end"/>
      </w:r>
      <w:bookmarkEnd w:id="23"/>
      <w:r w:rsidRPr="00751D45">
        <w:rPr>
          <w:color w:val="000000" w:themeColor="text1"/>
          <w:sz w:val="20"/>
          <w:szCs w:val="20"/>
          <w:lang w:val="en-GB"/>
        </w:rPr>
        <w:t>: Average curb weight and engine size of new LDVs in Bahrain in 2005, 2008, 2010 and 2012</w:t>
      </w:r>
      <w:bookmarkEnd w:id="24"/>
    </w:p>
    <w:p w:rsidR="009E1EAA" w:rsidRPr="00751D45" w:rsidRDefault="009E1EAA" w:rsidP="003505A7">
      <w:pPr>
        <w:spacing w:after="0" w:line="240" w:lineRule="auto"/>
        <w:jc w:val="both"/>
        <w:rPr>
          <w:sz w:val="24"/>
          <w:szCs w:val="24"/>
        </w:rPr>
      </w:pPr>
    </w:p>
    <w:p w:rsidR="001666F8" w:rsidRPr="00751D45" w:rsidRDefault="001666F8" w:rsidP="00CE2276">
      <w:pPr>
        <w:spacing w:after="0" w:line="240" w:lineRule="auto"/>
        <w:jc w:val="both"/>
        <w:rPr>
          <w:sz w:val="24"/>
          <w:szCs w:val="24"/>
        </w:rPr>
      </w:pPr>
      <w:r w:rsidRPr="00751D45">
        <w:rPr>
          <w:sz w:val="24"/>
          <w:szCs w:val="24"/>
        </w:rPr>
        <w:t>The majority of new LDVs in Bahrain are first registered</w:t>
      </w:r>
      <w:r w:rsidR="00304CC8" w:rsidRPr="00751D45">
        <w:rPr>
          <w:sz w:val="24"/>
          <w:szCs w:val="24"/>
        </w:rPr>
        <w:t xml:space="preserve"> at </w:t>
      </w:r>
      <w:r w:rsidR="002222D7" w:rsidRPr="00751D45">
        <w:rPr>
          <w:sz w:val="24"/>
          <w:szCs w:val="24"/>
        </w:rPr>
        <w:t xml:space="preserve">the vehicle </w:t>
      </w:r>
      <w:r w:rsidR="00304CC8" w:rsidRPr="00751D45">
        <w:rPr>
          <w:sz w:val="24"/>
          <w:szCs w:val="24"/>
        </w:rPr>
        <w:t>year of manufacture</w:t>
      </w:r>
      <w:r w:rsidR="002222D7" w:rsidRPr="00751D45">
        <w:rPr>
          <w:sz w:val="24"/>
          <w:szCs w:val="24"/>
        </w:rPr>
        <w:t xml:space="preserve"> </w:t>
      </w:r>
      <w:r w:rsidR="002222D7" w:rsidRPr="00CE2276">
        <w:rPr>
          <w:sz w:val="24"/>
          <w:szCs w:val="24"/>
        </w:rPr>
        <w:t>(</w:t>
      </w:r>
      <w:r w:rsidR="00784E68">
        <w:fldChar w:fldCharType="begin"/>
      </w:r>
      <w:r w:rsidR="00784E68">
        <w:instrText xml:space="preserve"> REF _Ref377543961 \h  \* MERGEFORMAT </w:instrText>
      </w:r>
      <w:r w:rsidR="00784E68">
        <w:fldChar w:fldCharType="separate"/>
      </w:r>
      <w:r w:rsidR="00CE2276" w:rsidRPr="00CE2276">
        <w:rPr>
          <w:color w:val="000000" w:themeColor="text1"/>
          <w:sz w:val="24"/>
          <w:szCs w:val="24"/>
        </w:rPr>
        <w:t xml:space="preserve">Figure </w:t>
      </w:r>
      <w:r w:rsidR="00CE2276" w:rsidRPr="00CE2276">
        <w:rPr>
          <w:noProof/>
          <w:color w:val="000000" w:themeColor="text1"/>
          <w:sz w:val="24"/>
          <w:szCs w:val="24"/>
        </w:rPr>
        <w:t>11</w:t>
      </w:r>
      <w:r w:rsidR="00784E68">
        <w:fldChar w:fldCharType="end"/>
      </w:r>
      <w:r w:rsidR="002222D7" w:rsidRPr="00CE2276">
        <w:rPr>
          <w:sz w:val="24"/>
          <w:szCs w:val="24"/>
        </w:rPr>
        <w:t>)</w:t>
      </w:r>
      <w:r w:rsidR="00304CC8" w:rsidRPr="00CE2276">
        <w:rPr>
          <w:sz w:val="24"/>
          <w:szCs w:val="24"/>
        </w:rPr>
        <w:t>.</w:t>
      </w:r>
      <w:r w:rsidR="00304CC8" w:rsidRPr="00751D45">
        <w:rPr>
          <w:sz w:val="24"/>
          <w:szCs w:val="24"/>
        </w:rPr>
        <w:t xml:space="preserve"> A considerable number of LDVs is registered a year before th</w:t>
      </w:r>
      <w:r w:rsidR="004B0714" w:rsidRPr="00751D45">
        <w:rPr>
          <w:sz w:val="24"/>
          <w:szCs w:val="24"/>
        </w:rPr>
        <w:t>at</w:t>
      </w:r>
      <w:r w:rsidR="00304CC8" w:rsidRPr="00751D45">
        <w:rPr>
          <w:sz w:val="24"/>
          <w:szCs w:val="24"/>
        </w:rPr>
        <w:t xml:space="preserve">, while only a small fraction is registered after the </w:t>
      </w:r>
      <w:r w:rsidR="004B0714" w:rsidRPr="00751D45">
        <w:rPr>
          <w:sz w:val="24"/>
          <w:szCs w:val="24"/>
        </w:rPr>
        <w:t xml:space="preserve">vehicle </w:t>
      </w:r>
      <w:r w:rsidR="00304CC8" w:rsidRPr="00751D45">
        <w:rPr>
          <w:sz w:val="24"/>
          <w:szCs w:val="24"/>
        </w:rPr>
        <w:t>year of manufacture.</w:t>
      </w:r>
      <w:r w:rsidR="002222D7" w:rsidRPr="00751D45">
        <w:rPr>
          <w:sz w:val="24"/>
          <w:szCs w:val="24"/>
        </w:rPr>
        <w:t xml:space="preserve"> One implication that can be drawn is that most LDVs in Bahrain are new imported vehicles.</w:t>
      </w:r>
    </w:p>
    <w:p w:rsidR="00304CC8" w:rsidRPr="00751D45" w:rsidRDefault="00304CC8" w:rsidP="009871A0">
      <w:pPr>
        <w:spacing w:after="0" w:line="240" w:lineRule="auto"/>
        <w:jc w:val="both"/>
        <w:rPr>
          <w:sz w:val="24"/>
          <w:szCs w:val="24"/>
        </w:rPr>
      </w:pPr>
    </w:p>
    <w:p w:rsidR="00315800" w:rsidRPr="00751D45" w:rsidRDefault="00315800" w:rsidP="00315800">
      <w:pPr>
        <w:keepNext/>
        <w:spacing w:after="0" w:line="240" w:lineRule="auto"/>
        <w:jc w:val="both"/>
      </w:pPr>
      <w:r w:rsidRPr="00751D45">
        <w:rPr>
          <w:noProof/>
          <w:sz w:val="24"/>
          <w:szCs w:val="24"/>
        </w:rPr>
        <w:drawing>
          <wp:inline distT="0" distB="0" distL="0" distR="0">
            <wp:extent cx="5867400" cy="2743200"/>
            <wp:effectExtent l="19050" t="0" r="19050" b="0"/>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B0714" w:rsidRPr="00751D45" w:rsidRDefault="00315800" w:rsidP="00315800">
      <w:pPr>
        <w:pStyle w:val="Caption"/>
        <w:spacing w:after="0"/>
        <w:jc w:val="center"/>
        <w:rPr>
          <w:color w:val="000000" w:themeColor="text1"/>
          <w:sz w:val="20"/>
          <w:szCs w:val="20"/>
        </w:rPr>
      </w:pPr>
      <w:bookmarkStart w:id="25" w:name="_Ref377543961"/>
      <w:bookmarkStart w:id="26" w:name="_Toc377544473"/>
      <w:r w:rsidRPr="00751D45">
        <w:rPr>
          <w:color w:val="000000" w:themeColor="text1"/>
          <w:sz w:val="20"/>
          <w:szCs w:val="20"/>
        </w:rPr>
        <w:t xml:space="preserve">Figure </w:t>
      </w:r>
      <w:r w:rsidR="00EF653E" w:rsidRPr="00751D45">
        <w:rPr>
          <w:color w:val="000000" w:themeColor="text1"/>
          <w:sz w:val="20"/>
          <w:szCs w:val="20"/>
        </w:rPr>
        <w:fldChar w:fldCharType="begin"/>
      </w:r>
      <w:r w:rsidRPr="00751D45">
        <w:rPr>
          <w:color w:val="000000" w:themeColor="text1"/>
          <w:sz w:val="20"/>
          <w:szCs w:val="20"/>
        </w:rPr>
        <w:instrText xml:space="preserve"> SEQ Figure \* ARABIC </w:instrText>
      </w:r>
      <w:r w:rsidR="00EF653E" w:rsidRPr="00751D45">
        <w:rPr>
          <w:color w:val="000000" w:themeColor="text1"/>
          <w:sz w:val="20"/>
          <w:szCs w:val="20"/>
        </w:rPr>
        <w:fldChar w:fldCharType="separate"/>
      </w:r>
      <w:r w:rsidR="00751D45">
        <w:rPr>
          <w:noProof/>
          <w:color w:val="000000" w:themeColor="text1"/>
          <w:sz w:val="20"/>
          <w:szCs w:val="20"/>
        </w:rPr>
        <w:t>11</w:t>
      </w:r>
      <w:r w:rsidR="00EF653E" w:rsidRPr="00751D45">
        <w:rPr>
          <w:color w:val="000000" w:themeColor="text1"/>
          <w:sz w:val="20"/>
          <w:szCs w:val="20"/>
        </w:rPr>
        <w:fldChar w:fldCharType="end"/>
      </w:r>
      <w:bookmarkEnd w:id="25"/>
      <w:r w:rsidRPr="00751D45">
        <w:rPr>
          <w:color w:val="000000" w:themeColor="text1"/>
          <w:sz w:val="20"/>
          <w:szCs w:val="20"/>
          <w:lang w:val="en-GB"/>
        </w:rPr>
        <w:t>: Number of new LDVs per year of first registration</w:t>
      </w:r>
      <w:bookmarkEnd w:id="26"/>
    </w:p>
    <w:p w:rsidR="00315800" w:rsidRPr="00751D45" w:rsidRDefault="00315800" w:rsidP="009871A0">
      <w:pPr>
        <w:spacing w:after="0" w:line="240" w:lineRule="auto"/>
        <w:jc w:val="both"/>
        <w:rPr>
          <w:sz w:val="24"/>
          <w:szCs w:val="24"/>
        </w:rPr>
      </w:pPr>
    </w:p>
    <w:p w:rsidR="00315800" w:rsidRPr="00751D45" w:rsidRDefault="00315800" w:rsidP="009871A0">
      <w:pPr>
        <w:spacing w:after="0" w:line="240" w:lineRule="auto"/>
        <w:jc w:val="both"/>
        <w:rPr>
          <w:sz w:val="24"/>
          <w:szCs w:val="24"/>
        </w:rPr>
      </w:pPr>
    </w:p>
    <w:p w:rsidR="00FA2525" w:rsidRPr="00213B56" w:rsidRDefault="00FF48E9" w:rsidP="004D00CC">
      <w:pPr>
        <w:pStyle w:val="Heading2"/>
        <w:rPr>
          <w:sz w:val="24"/>
          <w:szCs w:val="24"/>
        </w:rPr>
      </w:pPr>
      <w:bookmarkStart w:id="27" w:name="_Toc377544399"/>
      <w:r w:rsidRPr="00213B56">
        <w:rPr>
          <w:sz w:val="24"/>
          <w:szCs w:val="24"/>
        </w:rPr>
        <w:lastRenderedPageBreak/>
        <w:t>Conclusions</w:t>
      </w:r>
      <w:bookmarkEnd w:id="27"/>
    </w:p>
    <w:p w:rsidR="003F690E" w:rsidRPr="00213B56" w:rsidRDefault="004E4F2B" w:rsidP="00414B15">
      <w:pPr>
        <w:spacing w:after="0" w:line="240" w:lineRule="auto"/>
        <w:jc w:val="both"/>
        <w:rPr>
          <w:rFonts w:cs="Times New Roman"/>
          <w:sz w:val="24"/>
          <w:szCs w:val="24"/>
        </w:rPr>
      </w:pPr>
      <w:r w:rsidRPr="00213B56">
        <w:rPr>
          <w:rFonts w:cs="Times New Roman"/>
          <w:sz w:val="24"/>
          <w:szCs w:val="24"/>
        </w:rPr>
        <w:t>This study aims to provide a clear picture of the fuel economy and CO</w:t>
      </w:r>
      <w:r w:rsidRPr="00213B56">
        <w:rPr>
          <w:rFonts w:cs="Times New Roman"/>
          <w:sz w:val="24"/>
          <w:szCs w:val="24"/>
          <w:vertAlign w:val="subscript"/>
        </w:rPr>
        <w:t>2</w:t>
      </w:r>
      <w:r w:rsidRPr="00213B56">
        <w:rPr>
          <w:rFonts w:cs="Times New Roman"/>
          <w:sz w:val="24"/>
          <w:szCs w:val="24"/>
        </w:rPr>
        <w:t xml:space="preserve"> emissions trend</w:t>
      </w:r>
      <w:r w:rsidR="00F673B0" w:rsidRPr="00213B56">
        <w:rPr>
          <w:rFonts w:cs="Times New Roman"/>
          <w:sz w:val="24"/>
          <w:szCs w:val="24"/>
        </w:rPr>
        <w:t>s</w:t>
      </w:r>
      <w:r w:rsidRPr="00213B56">
        <w:rPr>
          <w:rFonts w:cs="Times New Roman"/>
          <w:sz w:val="24"/>
          <w:szCs w:val="24"/>
        </w:rPr>
        <w:t xml:space="preserve"> of LDVs</w:t>
      </w:r>
      <w:r w:rsidR="00777359" w:rsidRPr="00213B56">
        <w:rPr>
          <w:rFonts w:cs="Times New Roman"/>
          <w:sz w:val="24"/>
          <w:szCs w:val="24"/>
        </w:rPr>
        <w:t xml:space="preserve"> in </w:t>
      </w:r>
      <w:r w:rsidRPr="00213B56">
        <w:rPr>
          <w:rFonts w:cs="Times New Roman"/>
          <w:sz w:val="24"/>
          <w:szCs w:val="24"/>
        </w:rPr>
        <w:t xml:space="preserve">Bahrain. </w:t>
      </w:r>
      <w:r w:rsidR="001425AD" w:rsidRPr="00213B56">
        <w:rPr>
          <w:sz w:val="24"/>
          <w:szCs w:val="24"/>
        </w:rPr>
        <w:t xml:space="preserve">Having a clear understanding of </w:t>
      </w:r>
      <w:r w:rsidR="00EC6B07" w:rsidRPr="00213B56">
        <w:rPr>
          <w:sz w:val="24"/>
          <w:szCs w:val="24"/>
        </w:rPr>
        <w:t>these indicators</w:t>
      </w:r>
      <w:r w:rsidR="001425AD" w:rsidRPr="00213B56">
        <w:rPr>
          <w:sz w:val="24"/>
          <w:szCs w:val="24"/>
        </w:rPr>
        <w:t xml:space="preserve"> is crucial to informing effective policies.</w:t>
      </w:r>
      <w:r w:rsidR="001425AD" w:rsidRPr="00213B56">
        <w:rPr>
          <w:rFonts w:cs="Times New Roman"/>
          <w:sz w:val="24"/>
          <w:szCs w:val="24"/>
        </w:rPr>
        <w:t xml:space="preserve"> </w:t>
      </w:r>
      <w:r w:rsidR="00777359" w:rsidRPr="00213B56">
        <w:rPr>
          <w:rFonts w:cs="Times New Roman"/>
          <w:sz w:val="24"/>
          <w:szCs w:val="24"/>
        </w:rPr>
        <w:t>Analysis sh</w:t>
      </w:r>
      <w:r w:rsidRPr="00213B56">
        <w:rPr>
          <w:rFonts w:cs="Times New Roman"/>
          <w:sz w:val="24"/>
          <w:szCs w:val="24"/>
        </w:rPr>
        <w:t xml:space="preserve">ows </w:t>
      </w:r>
      <w:r w:rsidR="00F673B0" w:rsidRPr="00213B56">
        <w:rPr>
          <w:rFonts w:cs="Times New Roman"/>
          <w:sz w:val="24"/>
          <w:szCs w:val="24"/>
        </w:rPr>
        <w:t>an improvement in vehicle fuel economy in 2012 compared to the base year</w:t>
      </w:r>
      <w:r w:rsidR="00EB3359" w:rsidRPr="00213B56">
        <w:rPr>
          <w:rFonts w:cs="Times New Roman"/>
          <w:sz w:val="24"/>
          <w:szCs w:val="24"/>
        </w:rPr>
        <w:t xml:space="preserve"> 2005</w:t>
      </w:r>
      <w:r w:rsidRPr="00213B56">
        <w:rPr>
          <w:rFonts w:cs="Times New Roman"/>
          <w:sz w:val="24"/>
          <w:szCs w:val="24"/>
        </w:rPr>
        <w:t xml:space="preserve">. </w:t>
      </w:r>
      <w:r w:rsidR="00F673B0" w:rsidRPr="00213B56">
        <w:rPr>
          <w:rFonts w:cs="Times New Roman"/>
          <w:sz w:val="24"/>
          <w:szCs w:val="24"/>
        </w:rPr>
        <w:t>However, an increasing trend towards buying large vehicles can be observed. This implies</w:t>
      </w:r>
      <w:r w:rsidRPr="00213B56">
        <w:rPr>
          <w:rFonts w:cs="Times New Roman"/>
          <w:sz w:val="24"/>
          <w:szCs w:val="24"/>
        </w:rPr>
        <w:t xml:space="preserve"> that the increase in </w:t>
      </w:r>
      <w:r w:rsidR="00FB7003" w:rsidRPr="00213B56">
        <w:rPr>
          <w:rFonts w:cs="Times New Roman"/>
          <w:sz w:val="24"/>
          <w:szCs w:val="24"/>
        </w:rPr>
        <w:t xml:space="preserve">the </w:t>
      </w:r>
      <w:r w:rsidRPr="00213B56">
        <w:rPr>
          <w:rFonts w:cs="Times New Roman"/>
          <w:sz w:val="24"/>
          <w:szCs w:val="24"/>
        </w:rPr>
        <w:t>vehicle</w:t>
      </w:r>
      <w:r w:rsidR="00FB7003" w:rsidRPr="00213B56">
        <w:rPr>
          <w:rFonts w:cs="Times New Roman"/>
          <w:sz w:val="24"/>
          <w:szCs w:val="24"/>
        </w:rPr>
        <w:t xml:space="preserve"> </w:t>
      </w:r>
      <w:r w:rsidRPr="00213B56">
        <w:rPr>
          <w:rFonts w:cs="Times New Roman"/>
          <w:sz w:val="24"/>
          <w:szCs w:val="24"/>
        </w:rPr>
        <w:t xml:space="preserve">weight has offset the potential of significant savings gained from the wide distribution of small and more efficient vehicles. </w:t>
      </w:r>
    </w:p>
    <w:p w:rsidR="003F690E" w:rsidRPr="00213B56" w:rsidRDefault="003F690E" w:rsidP="00EC6B07">
      <w:pPr>
        <w:spacing w:after="0" w:line="240" w:lineRule="auto"/>
        <w:jc w:val="both"/>
        <w:rPr>
          <w:rFonts w:cs="Times New Roman"/>
          <w:sz w:val="24"/>
          <w:szCs w:val="24"/>
        </w:rPr>
      </w:pPr>
    </w:p>
    <w:p w:rsidR="00F86218" w:rsidRDefault="004E4F2B" w:rsidP="00EC6B07">
      <w:pPr>
        <w:spacing w:after="0" w:line="240" w:lineRule="auto"/>
        <w:jc w:val="both"/>
        <w:rPr>
          <w:rFonts w:cs="Times New Roman"/>
          <w:sz w:val="24"/>
          <w:szCs w:val="24"/>
        </w:rPr>
      </w:pPr>
      <w:r w:rsidRPr="00213B56">
        <w:rPr>
          <w:rFonts w:cs="Times New Roman"/>
          <w:sz w:val="24"/>
          <w:szCs w:val="24"/>
        </w:rPr>
        <w:t>Although this could be a common problem that may possibly be found in other countries, it is of special importance to Bahrain. There are no restrictions in Bahrain on new vehicles with respect to fuel economy or CO</w:t>
      </w:r>
      <w:r w:rsidRPr="00213B56">
        <w:rPr>
          <w:rFonts w:cs="Times New Roman"/>
          <w:sz w:val="24"/>
          <w:szCs w:val="24"/>
          <w:vertAlign w:val="subscript"/>
        </w:rPr>
        <w:t>2</w:t>
      </w:r>
      <w:r w:rsidRPr="00213B56">
        <w:rPr>
          <w:rFonts w:cs="Times New Roman"/>
          <w:sz w:val="24"/>
          <w:szCs w:val="24"/>
        </w:rPr>
        <w:t xml:space="preserve"> emissions. Furthermore, environmental </w:t>
      </w:r>
      <w:r w:rsidR="002052CC" w:rsidRPr="00213B56">
        <w:rPr>
          <w:rFonts w:cs="Times New Roman"/>
          <w:sz w:val="24"/>
          <w:szCs w:val="24"/>
        </w:rPr>
        <w:t>labeling</w:t>
      </w:r>
      <w:r w:rsidRPr="00213B56">
        <w:rPr>
          <w:rFonts w:cs="Times New Roman"/>
          <w:sz w:val="24"/>
          <w:szCs w:val="24"/>
        </w:rPr>
        <w:t>, emission reduction targets and action plans are yet to be developed for the country. Hence, this denotes abundant objectives for focusing policy framing and research to encourage the use of more efficient vehicles and the introduction fuel economy standards.</w:t>
      </w:r>
    </w:p>
    <w:p w:rsidR="00F86218" w:rsidRDefault="00F86218">
      <w:pPr>
        <w:rPr>
          <w:rFonts w:cs="Times New Roman"/>
          <w:sz w:val="24"/>
          <w:szCs w:val="24"/>
        </w:rPr>
      </w:pPr>
      <w:r>
        <w:rPr>
          <w:rFonts w:cs="Times New Roman"/>
          <w:sz w:val="24"/>
          <w:szCs w:val="24"/>
        </w:rPr>
        <w:br w:type="page"/>
      </w:r>
    </w:p>
    <w:p w:rsidR="004E4F2B" w:rsidRPr="00213B56" w:rsidRDefault="004E4F2B" w:rsidP="00EC6B07">
      <w:pPr>
        <w:spacing w:after="0" w:line="240" w:lineRule="auto"/>
        <w:jc w:val="both"/>
        <w:rPr>
          <w:rFonts w:cs="Times New Roman"/>
          <w:sz w:val="24"/>
          <w:szCs w:val="24"/>
        </w:rPr>
      </w:pPr>
    </w:p>
    <w:p w:rsidR="001B5378" w:rsidRPr="00751D45" w:rsidRDefault="00342BE2" w:rsidP="004D00CC">
      <w:pPr>
        <w:pStyle w:val="Heading2"/>
        <w:numPr>
          <w:ilvl w:val="0"/>
          <w:numId w:val="0"/>
        </w:numPr>
        <w:rPr>
          <w:sz w:val="24"/>
          <w:szCs w:val="24"/>
        </w:rPr>
      </w:pPr>
      <w:bookmarkStart w:id="28" w:name="_Toc377544400"/>
      <w:r w:rsidRPr="00751D45">
        <w:rPr>
          <w:sz w:val="24"/>
          <w:szCs w:val="24"/>
        </w:rPr>
        <w:t>References</w:t>
      </w:r>
      <w:bookmarkEnd w:id="28"/>
      <w:r w:rsidRPr="00751D45">
        <w:rPr>
          <w:sz w:val="24"/>
          <w:szCs w:val="24"/>
        </w:rPr>
        <w:t xml:space="preserve"> </w:t>
      </w:r>
    </w:p>
    <w:p w:rsidR="008170BB" w:rsidRPr="00CE530B" w:rsidRDefault="008170BB" w:rsidP="003505A7">
      <w:pPr>
        <w:spacing w:after="0" w:line="240" w:lineRule="auto"/>
        <w:ind w:left="720" w:hanging="720"/>
        <w:rPr>
          <w:rFonts w:cs="Times New Roman"/>
          <w:sz w:val="24"/>
          <w:szCs w:val="24"/>
        </w:rPr>
      </w:pPr>
      <w:r w:rsidRPr="00CE530B">
        <w:rPr>
          <w:rFonts w:cs="Times New Roman"/>
          <w:sz w:val="24"/>
          <w:szCs w:val="24"/>
        </w:rPr>
        <w:t xml:space="preserve">[BAPCO] The Bahrain Petroleum Company 2010. Gasoline and diesel local consumption from 2000 to 2010. Unpublished data. </w:t>
      </w:r>
    </w:p>
    <w:p w:rsidR="00B9304C" w:rsidRPr="00CE530B" w:rsidRDefault="00B9304C" w:rsidP="00B9304C">
      <w:pPr>
        <w:spacing w:after="0" w:line="240" w:lineRule="auto"/>
        <w:ind w:left="720" w:hanging="720"/>
        <w:jc w:val="both"/>
        <w:rPr>
          <w:rFonts w:cs="Times New Roman"/>
          <w:sz w:val="24"/>
          <w:szCs w:val="24"/>
        </w:rPr>
      </w:pPr>
      <w:r w:rsidRPr="00CE530B">
        <w:rPr>
          <w:rFonts w:cs="Times New Roman"/>
          <w:sz w:val="24"/>
          <w:szCs w:val="24"/>
        </w:rPr>
        <w:t>[CIO] Central Informatics Organization, 2011.Census 2010.&lt;</w:t>
      </w:r>
      <w:hyperlink r:id="rId21" w:history="1">
        <w:r w:rsidRPr="00CE530B">
          <w:rPr>
            <w:rStyle w:val="Hyperlink"/>
            <w:rFonts w:cs="Times New Roman"/>
            <w:color w:val="auto"/>
            <w:sz w:val="24"/>
            <w:szCs w:val="24"/>
          </w:rPr>
          <w:t>http://www.cio.gov.bh/CIO_ENG/SubDetailed.aspx?subcatid=256</w:t>
        </w:r>
      </w:hyperlink>
      <w:r w:rsidRPr="00CE530B">
        <w:rPr>
          <w:rFonts w:cs="Times New Roman"/>
          <w:sz w:val="24"/>
          <w:szCs w:val="24"/>
        </w:rPr>
        <w:t>&gt; (accessed February 2013).</w:t>
      </w:r>
    </w:p>
    <w:p w:rsidR="008170BB" w:rsidRPr="00CE530B" w:rsidRDefault="008170BB" w:rsidP="003505A7">
      <w:pPr>
        <w:spacing w:after="0" w:line="240" w:lineRule="auto"/>
        <w:ind w:left="720" w:hanging="720"/>
        <w:rPr>
          <w:sz w:val="24"/>
          <w:szCs w:val="24"/>
        </w:rPr>
      </w:pPr>
      <w:r w:rsidRPr="00CE530B">
        <w:rPr>
          <w:sz w:val="24"/>
          <w:szCs w:val="24"/>
        </w:rPr>
        <w:t>[CIO] Central Informatics Organization, 2012. Statistical Abstract.&lt;</w:t>
      </w:r>
      <w:hyperlink r:id="rId22" w:history="1">
        <w:r w:rsidRPr="00CE530B">
          <w:rPr>
            <w:rStyle w:val="Hyperlink"/>
            <w:rFonts w:eastAsiaTheme="majorEastAsia"/>
            <w:color w:val="auto"/>
            <w:sz w:val="24"/>
            <w:szCs w:val="24"/>
          </w:rPr>
          <w:t>http://www.cio.gov.bh/CIO_ENG/SubDetailed.aspx?subcatid=566</w:t>
        </w:r>
      </w:hyperlink>
      <w:r w:rsidRPr="00CE530B">
        <w:rPr>
          <w:sz w:val="24"/>
          <w:szCs w:val="24"/>
        </w:rPr>
        <w:t>&gt; (accessed June 2012).</w:t>
      </w:r>
    </w:p>
    <w:p w:rsidR="00397D16" w:rsidRPr="00397D16" w:rsidRDefault="00397D16" w:rsidP="00397D16">
      <w:pPr>
        <w:pStyle w:val="Default"/>
        <w:ind w:left="720" w:hanging="720"/>
        <w:jc w:val="both"/>
        <w:rPr>
          <w:rFonts w:ascii="Calibri" w:hAnsi="Calibri" w:cs="Times New Roman"/>
          <w:color w:val="auto"/>
        </w:rPr>
      </w:pPr>
      <w:r w:rsidRPr="00397D16">
        <w:rPr>
          <w:rFonts w:ascii="Calibri" w:hAnsi="Calibri" w:cs="Times New Roman"/>
          <w:color w:val="auto"/>
        </w:rPr>
        <w:t>[EEA] European Environment Agency, 2013. Monitoring CO</w:t>
      </w:r>
      <w:r w:rsidRPr="00397D16">
        <w:rPr>
          <w:rFonts w:ascii="Calibri" w:hAnsi="Calibri" w:cs="Times New Roman"/>
          <w:color w:val="auto"/>
          <w:vertAlign w:val="subscript"/>
        </w:rPr>
        <w:t>2</w:t>
      </w:r>
      <w:r w:rsidRPr="00397D16">
        <w:rPr>
          <w:rFonts w:ascii="Calibri" w:hAnsi="Calibri" w:cs="Times New Roman"/>
          <w:color w:val="auto"/>
        </w:rPr>
        <w:t xml:space="preserve"> emissions from new passenger cars in the EU: summary of data for 2012. </w:t>
      </w:r>
      <w:hyperlink r:id="rId23" w:history="1">
        <w:r w:rsidRPr="00397D16">
          <w:rPr>
            <w:rStyle w:val="Hyperlink"/>
            <w:rFonts w:ascii="Calibri" w:hAnsi="Calibri" w:cs="Times New Roman"/>
            <w:color w:val="auto"/>
          </w:rPr>
          <w:t>http://www.eea.europa.eu/publications/monitoring-co2-emissions-from-new-cars</w:t>
        </w:r>
      </w:hyperlink>
      <w:r w:rsidRPr="00397D16">
        <w:rPr>
          <w:rFonts w:ascii="Calibri" w:hAnsi="Calibri" w:cs="Times New Roman"/>
          <w:color w:val="auto"/>
        </w:rPr>
        <w:t xml:space="preserve"> (accessed August 2013).</w:t>
      </w:r>
    </w:p>
    <w:p w:rsidR="008170BB" w:rsidRPr="00CE530B" w:rsidRDefault="008170BB" w:rsidP="003505A7">
      <w:pPr>
        <w:spacing w:after="0" w:line="240" w:lineRule="auto"/>
        <w:ind w:left="720" w:hanging="720"/>
        <w:jc w:val="both"/>
        <w:rPr>
          <w:sz w:val="24"/>
          <w:szCs w:val="24"/>
        </w:rPr>
      </w:pPr>
      <w:r w:rsidRPr="00CE530B">
        <w:rPr>
          <w:sz w:val="24"/>
          <w:szCs w:val="24"/>
        </w:rPr>
        <w:t>[GFEI] Global Fuel Economy Initiative, 2013a. Global Fuel Economy Initiative: 50by50. &lt;</w:t>
      </w:r>
      <w:hyperlink r:id="rId24" w:history="1">
        <w:r w:rsidRPr="00CE530B">
          <w:rPr>
            <w:rStyle w:val="Hyperlink"/>
            <w:color w:val="auto"/>
            <w:sz w:val="24"/>
            <w:szCs w:val="24"/>
          </w:rPr>
          <w:t>http://www.globalfueleconomy.org/about/Pages/AboutHome.aspx</w:t>
        </w:r>
      </w:hyperlink>
      <w:r w:rsidRPr="00CE530B">
        <w:rPr>
          <w:sz w:val="24"/>
          <w:szCs w:val="24"/>
        </w:rPr>
        <w:t>&gt; (accessed November 2013).</w:t>
      </w:r>
    </w:p>
    <w:p w:rsidR="00421751" w:rsidRPr="00CE530B" w:rsidRDefault="00421751" w:rsidP="00421751">
      <w:pPr>
        <w:spacing w:after="0" w:line="240" w:lineRule="auto"/>
        <w:ind w:left="720" w:hanging="720"/>
        <w:jc w:val="both"/>
        <w:rPr>
          <w:rFonts w:cs="Times New Roman"/>
          <w:sz w:val="24"/>
          <w:szCs w:val="24"/>
        </w:rPr>
      </w:pPr>
      <w:r w:rsidRPr="00CE530B">
        <w:rPr>
          <w:rFonts w:cs="Times New Roman"/>
          <w:sz w:val="24"/>
          <w:szCs w:val="24"/>
        </w:rPr>
        <w:t>[GFEI] Global Fuel Economy Initiative, 2013b. Global Fuel Economy Initiative: 50by50. &lt;</w:t>
      </w:r>
      <w:hyperlink r:id="rId25" w:history="1">
        <w:r w:rsidRPr="00CE530B">
          <w:rPr>
            <w:rStyle w:val="Hyperlink"/>
            <w:rFonts w:cs="Times New Roman"/>
            <w:color w:val="auto"/>
            <w:sz w:val="24"/>
            <w:szCs w:val="24"/>
          </w:rPr>
          <w:t>http://www.globalfueleconomy.org/Documents/Publications/workplan.pdf</w:t>
        </w:r>
      </w:hyperlink>
      <w:r w:rsidRPr="00CE530B">
        <w:rPr>
          <w:rFonts w:cs="Times New Roman"/>
          <w:sz w:val="24"/>
          <w:szCs w:val="24"/>
        </w:rPr>
        <w:t>&gt;(accessed November 2013).</w:t>
      </w:r>
    </w:p>
    <w:p w:rsidR="008170BB" w:rsidRPr="00CE530B" w:rsidRDefault="00421751" w:rsidP="00421751">
      <w:pPr>
        <w:spacing w:after="0" w:line="240" w:lineRule="auto"/>
        <w:ind w:left="720" w:hanging="720"/>
        <w:rPr>
          <w:sz w:val="24"/>
          <w:szCs w:val="24"/>
        </w:rPr>
      </w:pPr>
      <w:r w:rsidRPr="00CE530B">
        <w:rPr>
          <w:sz w:val="24"/>
          <w:szCs w:val="24"/>
        </w:rPr>
        <w:t xml:space="preserve"> </w:t>
      </w:r>
      <w:r w:rsidR="008170BB" w:rsidRPr="00CE530B">
        <w:rPr>
          <w:sz w:val="24"/>
          <w:szCs w:val="24"/>
        </w:rPr>
        <w:t>[GFEI] Global Fuel Economy Initiative, no date. Developing a baseline. &lt;</w:t>
      </w:r>
      <w:hyperlink r:id="rId26" w:history="1">
        <w:r w:rsidR="008170BB" w:rsidRPr="00CE530B">
          <w:rPr>
            <w:rStyle w:val="Hyperlink"/>
            <w:color w:val="auto"/>
            <w:sz w:val="24"/>
            <w:szCs w:val="24"/>
          </w:rPr>
          <w:t>http://www.unep.org/transport/gfei/autotool/nextsteps/developing_a_baseline.asp</w:t>
        </w:r>
      </w:hyperlink>
      <w:r w:rsidR="008170BB" w:rsidRPr="00CE530B">
        <w:rPr>
          <w:sz w:val="24"/>
          <w:szCs w:val="24"/>
        </w:rPr>
        <w:t xml:space="preserve">&gt; (accessed December 2013). </w:t>
      </w:r>
    </w:p>
    <w:p w:rsidR="008170BB" w:rsidRPr="00CE530B" w:rsidRDefault="008170BB" w:rsidP="003505A7">
      <w:pPr>
        <w:spacing w:after="0" w:line="240" w:lineRule="auto"/>
        <w:ind w:left="720" w:hanging="720"/>
        <w:jc w:val="both"/>
        <w:rPr>
          <w:sz w:val="24"/>
          <w:szCs w:val="24"/>
        </w:rPr>
      </w:pPr>
      <w:r w:rsidRPr="00CE530B">
        <w:rPr>
          <w:sz w:val="24"/>
          <w:szCs w:val="24"/>
        </w:rPr>
        <w:t>[IEA] International Energy Agency, 2011.Key World Energy Statistics.&lt;</w:t>
      </w:r>
      <w:hyperlink r:id="rId27" w:history="1">
        <w:r w:rsidRPr="00CE530B">
          <w:rPr>
            <w:rStyle w:val="Hyperlink"/>
            <w:rFonts w:eastAsiaTheme="majorEastAsia"/>
            <w:color w:val="auto"/>
            <w:sz w:val="24"/>
            <w:szCs w:val="24"/>
          </w:rPr>
          <w:t>http://www.iea.org/publications/freepublications/publication/key_world_energy_stats-1.pdf</w:t>
        </w:r>
      </w:hyperlink>
      <w:r w:rsidRPr="00CE530B">
        <w:rPr>
          <w:sz w:val="24"/>
          <w:szCs w:val="24"/>
        </w:rPr>
        <w:t>&gt; (accessed July 2013).</w:t>
      </w:r>
    </w:p>
    <w:p w:rsidR="008170BB" w:rsidRPr="00CE530B" w:rsidRDefault="008170BB" w:rsidP="003505A7">
      <w:pPr>
        <w:spacing w:after="0" w:line="240" w:lineRule="auto"/>
        <w:ind w:left="720" w:hanging="720"/>
        <w:jc w:val="both"/>
        <w:rPr>
          <w:sz w:val="24"/>
          <w:szCs w:val="24"/>
        </w:rPr>
      </w:pPr>
      <w:r w:rsidRPr="00CE530B">
        <w:rPr>
          <w:sz w:val="24"/>
          <w:szCs w:val="24"/>
        </w:rPr>
        <w:t>[IEA] International Energy Agency, 2012a.Key World Energy Statistics.&lt;</w:t>
      </w:r>
      <w:hyperlink r:id="rId28" w:history="1">
        <w:r w:rsidRPr="00CE530B">
          <w:rPr>
            <w:rStyle w:val="Hyperlink"/>
            <w:rFonts w:eastAsiaTheme="majorEastAsia"/>
            <w:color w:val="auto"/>
            <w:sz w:val="24"/>
            <w:szCs w:val="24"/>
          </w:rPr>
          <w:t>http://www.iea.org/publications/freepublications/publication/kwes.pdf</w:t>
        </w:r>
      </w:hyperlink>
      <w:r w:rsidRPr="00CE530B">
        <w:rPr>
          <w:sz w:val="24"/>
          <w:szCs w:val="24"/>
        </w:rPr>
        <w:t xml:space="preserve">&gt; (accessed June 2013). </w:t>
      </w:r>
    </w:p>
    <w:p w:rsidR="008170BB" w:rsidRPr="00CE530B" w:rsidRDefault="008170BB" w:rsidP="003505A7">
      <w:pPr>
        <w:spacing w:after="0" w:line="240" w:lineRule="auto"/>
        <w:ind w:left="720" w:hanging="720"/>
        <w:jc w:val="both"/>
        <w:rPr>
          <w:sz w:val="24"/>
          <w:szCs w:val="24"/>
        </w:rPr>
      </w:pPr>
      <w:r w:rsidRPr="00CE530B">
        <w:rPr>
          <w:sz w:val="24"/>
          <w:szCs w:val="24"/>
        </w:rPr>
        <w:t>[IEA] International Energy Agency, 2012b.CO</w:t>
      </w:r>
      <w:r w:rsidRPr="00CE530B">
        <w:rPr>
          <w:sz w:val="24"/>
          <w:szCs w:val="24"/>
          <w:vertAlign w:val="subscript"/>
        </w:rPr>
        <w:t>2</w:t>
      </w:r>
      <w:r w:rsidRPr="00CE530B">
        <w:rPr>
          <w:sz w:val="24"/>
          <w:szCs w:val="24"/>
        </w:rPr>
        <w:t xml:space="preserve"> emissions from Fuel Combustion.&lt;</w:t>
      </w:r>
      <w:hyperlink r:id="rId29" w:history="1">
        <w:r w:rsidRPr="00CE530B">
          <w:rPr>
            <w:rStyle w:val="Hyperlink"/>
            <w:rFonts w:eastAsiaTheme="majorEastAsia"/>
            <w:color w:val="auto"/>
            <w:sz w:val="24"/>
            <w:szCs w:val="24"/>
          </w:rPr>
          <w:t>http://www.iea.org/co2highlights/co2highlights.pdf</w:t>
        </w:r>
      </w:hyperlink>
      <w:r w:rsidRPr="00CE530B">
        <w:rPr>
          <w:sz w:val="24"/>
          <w:szCs w:val="24"/>
        </w:rPr>
        <w:t xml:space="preserve">&gt; (accessed June 2013). </w:t>
      </w:r>
    </w:p>
    <w:p w:rsidR="008170BB" w:rsidRPr="00CE530B" w:rsidRDefault="008170BB" w:rsidP="008170BB">
      <w:pPr>
        <w:pStyle w:val="Default"/>
        <w:ind w:left="720" w:hanging="720"/>
        <w:jc w:val="both"/>
        <w:rPr>
          <w:rFonts w:asciiTheme="minorHAnsi" w:hAnsiTheme="minorHAnsi" w:cs="Times New Roman"/>
          <w:color w:val="auto"/>
        </w:rPr>
      </w:pPr>
      <w:r w:rsidRPr="00CE530B">
        <w:rPr>
          <w:rFonts w:asciiTheme="minorHAnsi" w:hAnsiTheme="minorHAnsi" w:cs="Times New Roman"/>
          <w:color w:val="auto"/>
        </w:rPr>
        <w:t>[IRF] International Road Federation, 2011. IRF World Road Statistics 2011.&lt;</w:t>
      </w:r>
      <w:hyperlink r:id="rId30" w:history="1">
        <w:r w:rsidRPr="00CE530B">
          <w:rPr>
            <w:rStyle w:val="Hyperlink"/>
            <w:rFonts w:asciiTheme="minorHAnsi" w:hAnsiTheme="minorHAnsi" w:cs="Times New Roman"/>
            <w:color w:val="auto"/>
          </w:rPr>
          <w:t>http://www.irfnet.org/files-upload/stats/2009/wrs2009_web.pdf</w:t>
        </w:r>
      </w:hyperlink>
      <w:r w:rsidRPr="00CE530B">
        <w:rPr>
          <w:rFonts w:asciiTheme="minorHAnsi" w:hAnsiTheme="minorHAnsi" w:cs="Times New Roman"/>
          <w:color w:val="auto"/>
        </w:rPr>
        <w:t>&gt; (accessed July 2012).</w:t>
      </w:r>
    </w:p>
    <w:p w:rsidR="00B9304C" w:rsidRPr="00CE530B" w:rsidRDefault="00B9304C" w:rsidP="00B9304C">
      <w:pPr>
        <w:spacing w:after="0" w:line="240" w:lineRule="auto"/>
        <w:ind w:left="720" w:hanging="720"/>
        <w:jc w:val="both"/>
        <w:rPr>
          <w:rFonts w:cs="Times New Roman"/>
          <w:sz w:val="24"/>
          <w:szCs w:val="24"/>
        </w:rPr>
      </w:pPr>
      <w:r w:rsidRPr="00CE530B">
        <w:rPr>
          <w:rFonts w:cs="Times New Roman"/>
          <w:sz w:val="24"/>
          <w:szCs w:val="24"/>
        </w:rPr>
        <w:t>[MOF] Ministry of Finance, 2011.Some economic indicators. Unpublished data.</w:t>
      </w:r>
    </w:p>
    <w:p w:rsidR="008170BB" w:rsidRPr="00CE530B" w:rsidRDefault="008170BB" w:rsidP="003505A7">
      <w:pPr>
        <w:pStyle w:val="Default"/>
        <w:ind w:left="720" w:hanging="720"/>
        <w:jc w:val="both"/>
        <w:rPr>
          <w:rFonts w:asciiTheme="minorHAnsi" w:hAnsiTheme="minorHAnsi" w:cstheme="minorBidi"/>
          <w:noProof/>
          <w:color w:val="auto"/>
        </w:rPr>
      </w:pPr>
      <w:r w:rsidRPr="00CE530B">
        <w:rPr>
          <w:rFonts w:asciiTheme="minorHAnsi" w:hAnsiTheme="minorHAnsi" w:cstheme="minorBidi"/>
          <w:color w:val="auto"/>
        </w:rPr>
        <w:t>[PMEW] General Commission for the Protection of Marine Resources, Environment &amp; Wildlife 2012. Bahrain’s Second National Communication.</w:t>
      </w:r>
    </w:p>
    <w:p w:rsidR="008170BB" w:rsidRPr="00CE530B" w:rsidRDefault="008170BB" w:rsidP="003505A7">
      <w:pPr>
        <w:spacing w:after="0" w:line="240" w:lineRule="auto"/>
        <w:ind w:left="720" w:hanging="720"/>
        <w:jc w:val="both"/>
        <w:rPr>
          <w:sz w:val="24"/>
          <w:szCs w:val="24"/>
        </w:rPr>
      </w:pPr>
      <w:r w:rsidRPr="00CE530B">
        <w:rPr>
          <w:sz w:val="24"/>
          <w:szCs w:val="24"/>
        </w:rPr>
        <w:t>[RITA] Research and Innovative Technology Administration, 2013. National Transportation Statistics.&lt;</w:t>
      </w:r>
      <w:hyperlink r:id="rId31" w:history="1">
        <w:r w:rsidRPr="00CE530B">
          <w:rPr>
            <w:rStyle w:val="Hyperlink"/>
            <w:rFonts w:eastAsiaTheme="majorEastAsia"/>
            <w:color w:val="auto"/>
            <w:sz w:val="24"/>
            <w:szCs w:val="24"/>
          </w:rPr>
          <w:t>http://www.rita.dot.gov/bts/sites/rita.dot.gov.bts/files/NTS_Entire_Q1.pdf</w:t>
        </w:r>
      </w:hyperlink>
      <w:r w:rsidRPr="00CE530B">
        <w:rPr>
          <w:sz w:val="24"/>
          <w:szCs w:val="24"/>
        </w:rPr>
        <w:t xml:space="preserve">&gt; (accessed June 2013).  </w:t>
      </w:r>
    </w:p>
    <w:p w:rsidR="008170BB" w:rsidRPr="00CE530B" w:rsidRDefault="008170BB" w:rsidP="003505A7">
      <w:pPr>
        <w:spacing w:after="0" w:line="240" w:lineRule="auto"/>
        <w:ind w:left="720" w:hanging="720"/>
        <w:rPr>
          <w:sz w:val="24"/>
          <w:szCs w:val="24"/>
        </w:rPr>
      </w:pPr>
      <w:r w:rsidRPr="00CE530B">
        <w:rPr>
          <w:sz w:val="24"/>
          <w:szCs w:val="24"/>
        </w:rPr>
        <w:lastRenderedPageBreak/>
        <w:t>Alnaser, W., 1995.Fuel consumption by vehicles in the State of Bahrain. Applied Energy 50, 31-40.</w:t>
      </w:r>
    </w:p>
    <w:p w:rsidR="008170BB" w:rsidRPr="00CE530B" w:rsidRDefault="008170BB" w:rsidP="003505A7">
      <w:pPr>
        <w:spacing w:after="0" w:line="240" w:lineRule="auto"/>
        <w:ind w:left="720" w:hanging="720"/>
        <w:rPr>
          <w:sz w:val="24"/>
          <w:szCs w:val="24"/>
        </w:rPr>
      </w:pPr>
      <w:r w:rsidRPr="00CE530B">
        <w:rPr>
          <w:sz w:val="24"/>
          <w:szCs w:val="24"/>
        </w:rPr>
        <w:t>Alsabbagh, M.; Siu, Y. L.; Barrett, J.; Abdel Gelil, I., 2013. CO</w:t>
      </w:r>
      <w:r w:rsidRPr="00CE530B">
        <w:rPr>
          <w:sz w:val="24"/>
          <w:szCs w:val="24"/>
          <w:vertAlign w:val="subscript"/>
        </w:rPr>
        <w:t>2</w:t>
      </w:r>
      <w:r w:rsidRPr="00CE530B">
        <w:rPr>
          <w:sz w:val="24"/>
          <w:szCs w:val="24"/>
        </w:rPr>
        <w:t xml:space="preserve"> emissions and fuel consumption of passenger vehicles in Bahrain: Current status and future scenarios. SRI working paper series, no. 53. &lt; </w:t>
      </w:r>
      <w:hyperlink r:id="rId32" w:history="1">
        <w:r w:rsidRPr="00CE530B">
          <w:rPr>
            <w:rStyle w:val="Hyperlink"/>
            <w:color w:val="auto"/>
            <w:sz w:val="24"/>
            <w:szCs w:val="24"/>
          </w:rPr>
          <w:t>http://www.see.leeds.ac.uk/research/sri/working-papers/</w:t>
        </w:r>
      </w:hyperlink>
      <w:r w:rsidRPr="00CE530B">
        <w:rPr>
          <w:sz w:val="24"/>
          <w:szCs w:val="24"/>
        </w:rPr>
        <w:t xml:space="preserve">&gt; (accessed December 2013). </w:t>
      </w:r>
    </w:p>
    <w:p w:rsidR="008170BB" w:rsidRPr="00CE530B" w:rsidRDefault="008170BB" w:rsidP="007316C9">
      <w:pPr>
        <w:spacing w:after="0" w:line="240" w:lineRule="auto"/>
        <w:ind w:left="720" w:hanging="720"/>
        <w:jc w:val="both"/>
        <w:rPr>
          <w:sz w:val="24"/>
          <w:szCs w:val="24"/>
        </w:rPr>
      </w:pPr>
      <w:r w:rsidRPr="00CE530B">
        <w:rPr>
          <w:sz w:val="24"/>
          <w:szCs w:val="24"/>
        </w:rPr>
        <w:t>Eltony, M., 1996. Demand for gasoline in the GCC: an application for pooling and testing procedures. Energy Economics 18, 203–209.</w:t>
      </w:r>
    </w:p>
    <w:p w:rsidR="008170BB" w:rsidRPr="00CE530B" w:rsidRDefault="008170BB" w:rsidP="003505A7">
      <w:pPr>
        <w:tabs>
          <w:tab w:val="left" w:pos="720"/>
          <w:tab w:val="left" w:pos="5492"/>
        </w:tabs>
        <w:spacing w:after="0" w:line="240" w:lineRule="auto"/>
        <w:ind w:left="720" w:hanging="720"/>
        <w:rPr>
          <w:sz w:val="24"/>
          <w:szCs w:val="24"/>
        </w:rPr>
      </w:pPr>
      <w:r w:rsidRPr="00CE530B">
        <w:rPr>
          <w:sz w:val="24"/>
          <w:szCs w:val="24"/>
        </w:rPr>
        <w:t>General Directorate of Traffic, 2012.Traffic Accidents Facts in Kingdom of Bahrain.</w:t>
      </w:r>
    </w:p>
    <w:p w:rsidR="001B5378" w:rsidRPr="00CE530B" w:rsidRDefault="001B5378" w:rsidP="003505A7">
      <w:pPr>
        <w:spacing w:after="0" w:line="240" w:lineRule="auto"/>
        <w:jc w:val="both"/>
        <w:rPr>
          <w:sz w:val="24"/>
          <w:szCs w:val="24"/>
        </w:rPr>
      </w:pPr>
    </w:p>
    <w:p w:rsidR="001B5378" w:rsidRDefault="001B5378" w:rsidP="007316C9">
      <w:pPr>
        <w:pStyle w:val="Heading2"/>
        <w:pageBreakBefore/>
        <w:numPr>
          <w:ilvl w:val="0"/>
          <w:numId w:val="0"/>
        </w:numPr>
        <w:spacing w:before="0" w:beforeAutospacing="0" w:after="0" w:afterAutospacing="0"/>
        <w:rPr>
          <w:sz w:val="24"/>
          <w:szCs w:val="24"/>
        </w:rPr>
      </w:pPr>
      <w:bookmarkStart w:id="29" w:name="_Toc377544401"/>
      <w:r w:rsidRPr="001310CB">
        <w:rPr>
          <w:sz w:val="24"/>
          <w:szCs w:val="24"/>
        </w:rPr>
        <w:lastRenderedPageBreak/>
        <w:t>Annex 1</w:t>
      </w:r>
      <w:r w:rsidR="00232FB9">
        <w:rPr>
          <w:sz w:val="24"/>
          <w:szCs w:val="24"/>
        </w:rPr>
        <w:t>: Methodology</w:t>
      </w:r>
      <w:bookmarkEnd w:id="29"/>
    </w:p>
    <w:p w:rsidR="000E2F65" w:rsidRPr="00D42177" w:rsidRDefault="000E2F65" w:rsidP="000E2F65">
      <w:pPr>
        <w:pStyle w:val="Heading2"/>
        <w:numPr>
          <w:ilvl w:val="1"/>
          <w:numId w:val="15"/>
        </w:numPr>
        <w:spacing w:after="0"/>
        <w:jc w:val="both"/>
        <w:rPr>
          <w:sz w:val="24"/>
          <w:szCs w:val="24"/>
        </w:rPr>
      </w:pPr>
      <w:bookmarkStart w:id="30" w:name="_Toc377544402"/>
      <w:r w:rsidRPr="00D42177">
        <w:rPr>
          <w:sz w:val="24"/>
          <w:szCs w:val="24"/>
        </w:rPr>
        <w:t>Obtain vehicle registration data:</w:t>
      </w:r>
      <w:bookmarkEnd w:id="30"/>
    </w:p>
    <w:p w:rsidR="001B5378" w:rsidRPr="00D42177" w:rsidRDefault="00BC24B6" w:rsidP="003505A7">
      <w:pPr>
        <w:pStyle w:val="ListParagraph"/>
        <w:numPr>
          <w:ilvl w:val="0"/>
          <w:numId w:val="12"/>
        </w:numPr>
        <w:spacing w:after="0" w:line="240" w:lineRule="auto"/>
        <w:jc w:val="both"/>
        <w:rPr>
          <w:sz w:val="24"/>
          <w:szCs w:val="24"/>
          <w:lang w:val="en-GB"/>
        </w:rPr>
      </w:pPr>
      <w:r w:rsidRPr="00D42177">
        <w:rPr>
          <w:sz w:val="24"/>
          <w:szCs w:val="24"/>
          <w:lang w:val="en-GB"/>
        </w:rPr>
        <w:t>The data are</w:t>
      </w:r>
      <w:r w:rsidR="001B5378" w:rsidRPr="00D42177">
        <w:rPr>
          <w:sz w:val="24"/>
          <w:szCs w:val="24"/>
          <w:lang w:val="en-GB"/>
        </w:rPr>
        <w:t xml:space="preserve"> compiled from the General Directorate of Traffic –Ministry of Interior</w:t>
      </w:r>
      <w:r w:rsidR="00220C8A">
        <w:rPr>
          <w:sz w:val="24"/>
          <w:szCs w:val="24"/>
          <w:lang w:val="en-GB"/>
        </w:rPr>
        <w:t>.</w:t>
      </w:r>
    </w:p>
    <w:p w:rsidR="000E2F65" w:rsidRPr="00D42177" w:rsidRDefault="000E2F65" w:rsidP="003505A7">
      <w:pPr>
        <w:pStyle w:val="ListParagraph"/>
        <w:numPr>
          <w:ilvl w:val="0"/>
          <w:numId w:val="12"/>
        </w:numPr>
        <w:spacing w:after="0" w:line="240" w:lineRule="auto"/>
        <w:jc w:val="both"/>
        <w:rPr>
          <w:sz w:val="24"/>
          <w:szCs w:val="24"/>
          <w:lang w:val="en-GB"/>
        </w:rPr>
      </w:pPr>
      <w:r w:rsidRPr="00D42177">
        <w:rPr>
          <w:rFonts w:cs="Times New Roman"/>
          <w:sz w:val="24"/>
          <w:szCs w:val="24"/>
        </w:rPr>
        <w:t>The collected data for Bahrain are extracted from the on-road registered vehicles in 2013 data set. The new LDVs data could not be obtained directly due to IT system change in the General Directorate of Traffic.</w:t>
      </w:r>
    </w:p>
    <w:p w:rsidR="001B5378" w:rsidRPr="00D42177" w:rsidRDefault="001B5378" w:rsidP="003505A7">
      <w:pPr>
        <w:pStyle w:val="ListParagraph"/>
        <w:numPr>
          <w:ilvl w:val="0"/>
          <w:numId w:val="12"/>
        </w:numPr>
        <w:spacing w:after="0" w:line="240" w:lineRule="auto"/>
        <w:jc w:val="both"/>
        <w:rPr>
          <w:sz w:val="24"/>
          <w:szCs w:val="24"/>
          <w:lang w:val="en-GB"/>
        </w:rPr>
      </w:pPr>
      <w:r w:rsidRPr="00D42177">
        <w:rPr>
          <w:sz w:val="24"/>
          <w:szCs w:val="24"/>
          <w:lang w:val="en-GB"/>
        </w:rPr>
        <w:t xml:space="preserve">The collected data contains the following information and specifications: </w:t>
      </w:r>
    </w:p>
    <w:p w:rsidR="001B5378" w:rsidRPr="00D42177" w:rsidRDefault="001B5378" w:rsidP="003505A7">
      <w:pPr>
        <w:pStyle w:val="ListParagraph"/>
        <w:numPr>
          <w:ilvl w:val="1"/>
          <w:numId w:val="12"/>
        </w:numPr>
        <w:spacing w:after="0" w:line="240" w:lineRule="auto"/>
        <w:jc w:val="both"/>
        <w:rPr>
          <w:sz w:val="24"/>
          <w:szCs w:val="24"/>
          <w:lang w:val="en-GB"/>
        </w:rPr>
      </w:pPr>
      <w:r w:rsidRPr="00D42177">
        <w:rPr>
          <w:sz w:val="24"/>
          <w:szCs w:val="24"/>
          <w:lang w:val="en-GB"/>
        </w:rPr>
        <w:t>Year of manufacture</w:t>
      </w:r>
    </w:p>
    <w:p w:rsidR="001B5378" w:rsidRPr="00D42177" w:rsidRDefault="001B5378" w:rsidP="003505A7">
      <w:pPr>
        <w:pStyle w:val="ListParagraph"/>
        <w:numPr>
          <w:ilvl w:val="1"/>
          <w:numId w:val="12"/>
        </w:numPr>
        <w:spacing w:after="0" w:line="240" w:lineRule="auto"/>
        <w:jc w:val="both"/>
        <w:rPr>
          <w:sz w:val="24"/>
          <w:szCs w:val="24"/>
          <w:lang w:val="en-GB"/>
        </w:rPr>
      </w:pPr>
      <w:r w:rsidRPr="00D42177">
        <w:rPr>
          <w:sz w:val="24"/>
          <w:szCs w:val="24"/>
          <w:lang w:val="en-GB"/>
        </w:rPr>
        <w:t>First registration date</w:t>
      </w:r>
    </w:p>
    <w:p w:rsidR="001B5378" w:rsidRPr="00D42177" w:rsidRDefault="001B5378" w:rsidP="003505A7">
      <w:pPr>
        <w:pStyle w:val="ListParagraph"/>
        <w:numPr>
          <w:ilvl w:val="1"/>
          <w:numId w:val="12"/>
        </w:numPr>
        <w:spacing w:after="0" w:line="240" w:lineRule="auto"/>
        <w:jc w:val="both"/>
        <w:rPr>
          <w:sz w:val="24"/>
          <w:szCs w:val="24"/>
          <w:lang w:val="en-GB"/>
        </w:rPr>
      </w:pPr>
      <w:r w:rsidRPr="00D42177">
        <w:rPr>
          <w:sz w:val="24"/>
          <w:szCs w:val="24"/>
          <w:lang w:val="en-GB"/>
        </w:rPr>
        <w:t xml:space="preserve"> Vehicle make code and name</w:t>
      </w:r>
    </w:p>
    <w:p w:rsidR="001B5378" w:rsidRPr="00D42177" w:rsidRDefault="001B5378" w:rsidP="003505A7">
      <w:pPr>
        <w:pStyle w:val="ListParagraph"/>
        <w:numPr>
          <w:ilvl w:val="1"/>
          <w:numId w:val="12"/>
        </w:numPr>
        <w:spacing w:after="0" w:line="240" w:lineRule="auto"/>
        <w:jc w:val="both"/>
        <w:rPr>
          <w:sz w:val="24"/>
          <w:szCs w:val="24"/>
          <w:lang w:val="en-GB"/>
        </w:rPr>
      </w:pPr>
      <w:r w:rsidRPr="00D42177">
        <w:rPr>
          <w:sz w:val="24"/>
          <w:szCs w:val="24"/>
          <w:lang w:val="en-GB"/>
        </w:rPr>
        <w:t>Vehicle model code and name</w:t>
      </w:r>
    </w:p>
    <w:p w:rsidR="001B5378" w:rsidRPr="00D42177" w:rsidRDefault="000E2F65" w:rsidP="000E2F65">
      <w:pPr>
        <w:pStyle w:val="ListParagraph"/>
        <w:numPr>
          <w:ilvl w:val="1"/>
          <w:numId w:val="12"/>
        </w:numPr>
        <w:spacing w:after="0" w:line="240" w:lineRule="auto"/>
        <w:jc w:val="both"/>
        <w:rPr>
          <w:sz w:val="24"/>
          <w:szCs w:val="24"/>
          <w:lang w:val="en-GB"/>
        </w:rPr>
      </w:pPr>
      <w:r w:rsidRPr="00D42177">
        <w:rPr>
          <w:sz w:val="24"/>
          <w:szCs w:val="24"/>
          <w:lang w:val="en-GB"/>
        </w:rPr>
        <w:t>E</w:t>
      </w:r>
      <w:r w:rsidR="001B5378" w:rsidRPr="00D42177">
        <w:rPr>
          <w:sz w:val="24"/>
          <w:szCs w:val="24"/>
          <w:lang w:val="en-GB"/>
        </w:rPr>
        <w:t>ngine capacity (cc)</w:t>
      </w:r>
    </w:p>
    <w:p w:rsidR="001B5378" w:rsidRPr="00D42177" w:rsidRDefault="001B5378" w:rsidP="003505A7">
      <w:pPr>
        <w:pStyle w:val="ListParagraph"/>
        <w:numPr>
          <w:ilvl w:val="1"/>
          <w:numId w:val="12"/>
        </w:numPr>
        <w:spacing w:after="0" w:line="240" w:lineRule="auto"/>
        <w:jc w:val="both"/>
        <w:rPr>
          <w:sz w:val="24"/>
          <w:szCs w:val="24"/>
          <w:lang w:val="en-GB"/>
        </w:rPr>
      </w:pPr>
      <w:r w:rsidRPr="00D42177">
        <w:rPr>
          <w:sz w:val="24"/>
          <w:szCs w:val="24"/>
          <w:lang w:val="en-GB"/>
        </w:rPr>
        <w:t>Weight (kg)</w:t>
      </w:r>
    </w:p>
    <w:p w:rsidR="001B5378" w:rsidRPr="00D42177" w:rsidRDefault="001B5378" w:rsidP="003505A7">
      <w:pPr>
        <w:pStyle w:val="ListParagraph"/>
        <w:numPr>
          <w:ilvl w:val="1"/>
          <w:numId w:val="12"/>
        </w:numPr>
        <w:spacing w:after="0" w:line="240" w:lineRule="auto"/>
        <w:jc w:val="both"/>
        <w:rPr>
          <w:sz w:val="24"/>
          <w:szCs w:val="24"/>
          <w:lang w:val="en-GB"/>
        </w:rPr>
      </w:pPr>
      <w:r w:rsidRPr="00D42177">
        <w:rPr>
          <w:sz w:val="24"/>
          <w:szCs w:val="24"/>
          <w:lang w:val="en-GB"/>
        </w:rPr>
        <w:t>F</w:t>
      </w:r>
      <w:r w:rsidR="000E2F65" w:rsidRPr="00D42177">
        <w:rPr>
          <w:sz w:val="24"/>
          <w:szCs w:val="24"/>
          <w:lang w:val="en-GB"/>
        </w:rPr>
        <w:t xml:space="preserve">uel type </w:t>
      </w:r>
    </w:p>
    <w:p w:rsidR="001B5378" w:rsidRPr="00D42177" w:rsidRDefault="001B5378" w:rsidP="003505A7">
      <w:pPr>
        <w:pStyle w:val="ListParagraph"/>
        <w:numPr>
          <w:ilvl w:val="1"/>
          <w:numId w:val="12"/>
        </w:numPr>
        <w:spacing w:after="0" w:line="240" w:lineRule="auto"/>
        <w:jc w:val="both"/>
        <w:rPr>
          <w:sz w:val="24"/>
          <w:szCs w:val="24"/>
          <w:lang w:val="en-GB"/>
        </w:rPr>
      </w:pPr>
      <w:r w:rsidRPr="00D42177">
        <w:rPr>
          <w:sz w:val="24"/>
          <w:szCs w:val="24"/>
          <w:lang w:val="en-GB"/>
        </w:rPr>
        <w:t>Vehicle type code and name</w:t>
      </w:r>
    </w:p>
    <w:p w:rsidR="001B5378" w:rsidRPr="00D42177" w:rsidRDefault="001B5378" w:rsidP="003505A7">
      <w:pPr>
        <w:pStyle w:val="ListParagraph"/>
        <w:numPr>
          <w:ilvl w:val="1"/>
          <w:numId w:val="12"/>
        </w:numPr>
        <w:spacing w:after="0" w:line="240" w:lineRule="auto"/>
        <w:jc w:val="both"/>
        <w:rPr>
          <w:sz w:val="24"/>
          <w:szCs w:val="24"/>
          <w:lang w:val="en-GB"/>
        </w:rPr>
      </w:pPr>
      <w:r w:rsidRPr="00D42177">
        <w:rPr>
          <w:sz w:val="24"/>
          <w:szCs w:val="24"/>
          <w:lang w:val="en-GB"/>
        </w:rPr>
        <w:t>Plate type code and name</w:t>
      </w:r>
    </w:p>
    <w:p w:rsidR="001B5378" w:rsidRPr="00D42177" w:rsidRDefault="001B5378" w:rsidP="003505A7">
      <w:pPr>
        <w:pStyle w:val="ListParagraph"/>
        <w:numPr>
          <w:ilvl w:val="1"/>
          <w:numId w:val="12"/>
        </w:numPr>
        <w:spacing w:after="0" w:line="240" w:lineRule="auto"/>
        <w:jc w:val="both"/>
        <w:rPr>
          <w:sz w:val="24"/>
          <w:szCs w:val="24"/>
          <w:lang w:val="en-GB"/>
        </w:rPr>
      </w:pPr>
      <w:r w:rsidRPr="00D42177">
        <w:rPr>
          <w:sz w:val="24"/>
          <w:szCs w:val="24"/>
          <w:lang w:val="en-GB"/>
        </w:rPr>
        <w:t>Number of axles</w:t>
      </w:r>
    </w:p>
    <w:p w:rsidR="001B5378" w:rsidRDefault="001B5378" w:rsidP="003505A7">
      <w:pPr>
        <w:pStyle w:val="ListParagraph"/>
        <w:numPr>
          <w:ilvl w:val="1"/>
          <w:numId w:val="12"/>
        </w:numPr>
        <w:spacing w:after="0" w:line="240" w:lineRule="auto"/>
        <w:jc w:val="both"/>
        <w:rPr>
          <w:sz w:val="24"/>
          <w:szCs w:val="24"/>
          <w:lang w:val="en-GB"/>
        </w:rPr>
      </w:pPr>
      <w:r w:rsidRPr="00D42177">
        <w:rPr>
          <w:sz w:val="24"/>
          <w:szCs w:val="24"/>
          <w:lang w:val="en-GB"/>
        </w:rPr>
        <w:t>Number of cylinders</w:t>
      </w:r>
    </w:p>
    <w:p w:rsidR="00887899" w:rsidRPr="001310CB" w:rsidRDefault="00887899" w:rsidP="00887899">
      <w:pPr>
        <w:pStyle w:val="ListParagraph"/>
        <w:numPr>
          <w:ilvl w:val="0"/>
          <w:numId w:val="12"/>
        </w:numPr>
        <w:spacing w:after="0" w:line="240" w:lineRule="auto"/>
        <w:jc w:val="both"/>
        <w:rPr>
          <w:sz w:val="24"/>
          <w:szCs w:val="24"/>
          <w:lang w:val="en-GB"/>
        </w:rPr>
      </w:pPr>
      <w:r>
        <w:rPr>
          <w:sz w:val="24"/>
          <w:szCs w:val="24"/>
          <w:lang w:val="en-GB"/>
        </w:rPr>
        <w:t>The database does not indicate</w:t>
      </w:r>
      <w:r w:rsidRPr="001310CB">
        <w:rPr>
          <w:sz w:val="24"/>
          <w:szCs w:val="24"/>
          <w:lang w:val="en-GB"/>
        </w:rPr>
        <w:t xml:space="preserve"> whether the vehicle is imported as a new or used vehicle. However, estimates can be obtained from the comparison between the year of manufacture and the first registration year. If the car is registered three years or more after the year of manufacture, it can be assumed that it was imported as a used vehicle.</w:t>
      </w:r>
    </w:p>
    <w:p w:rsidR="000E2F65" w:rsidRPr="00D42177" w:rsidRDefault="000E2F65" w:rsidP="000E2F65">
      <w:pPr>
        <w:pStyle w:val="Heading2"/>
        <w:numPr>
          <w:ilvl w:val="1"/>
          <w:numId w:val="15"/>
        </w:numPr>
        <w:spacing w:after="0"/>
        <w:jc w:val="both"/>
        <w:rPr>
          <w:sz w:val="24"/>
          <w:szCs w:val="24"/>
        </w:rPr>
      </w:pPr>
      <w:bookmarkStart w:id="31" w:name="_Toc377544403"/>
      <w:r w:rsidRPr="00D42177">
        <w:rPr>
          <w:sz w:val="24"/>
          <w:szCs w:val="24"/>
        </w:rPr>
        <w:t>Cleaning data:</w:t>
      </w:r>
      <w:bookmarkEnd w:id="31"/>
    </w:p>
    <w:p w:rsidR="00E67D02" w:rsidRPr="00D42177" w:rsidRDefault="00E67D02" w:rsidP="00632E21">
      <w:pPr>
        <w:pStyle w:val="ListParagraph"/>
        <w:numPr>
          <w:ilvl w:val="0"/>
          <w:numId w:val="12"/>
        </w:numPr>
        <w:rPr>
          <w:sz w:val="24"/>
          <w:szCs w:val="24"/>
          <w:lang w:val="en-GB" w:eastAsia="en-GB"/>
        </w:rPr>
      </w:pPr>
      <w:r w:rsidRPr="00D42177">
        <w:rPr>
          <w:sz w:val="24"/>
          <w:szCs w:val="24"/>
          <w:lang w:val="en-GB" w:eastAsia="en-GB"/>
        </w:rPr>
        <w:t xml:space="preserve">Vehicles not </w:t>
      </w:r>
      <w:r w:rsidR="008275B3" w:rsidRPr="00D42177">
        <w:rPr>
          <w:sz w:val="24"/>
          <w:szCs w:val="24"/>
          <w:lang w:val="en-GB" w:eastAsia="en-GB"/>
        </w:rPr>
        <w:t>classified</w:t>
      </w:r>
      <w:r w:rsidRPr="00D42177">
        <w:rPr>
          <w:sz w:val="24"/>
          <w:szCs w:val="24"/>
          <w:lang w:val="en-GB" w:eastAsia="en-GB"/>
        </w:rPr>
        <w:t xml:space="preserve"> as LDVs are removed. Types of vehicles classified as LDVs are presented at </w:t>
      </w:r>
      <w:r w:rsidR="00784E68">
        <w:fldChar w:fldCharType="begin"/>
      </w:r>
      <w:r w:rsidR="00784E68">
        <w:instrText xml:space="preserve"> REF _Ref377538697 \h  \* MERGEFORMAT </w:instrText>
      </w:r>
      <w:r w:rsidR="00784E68">
        <w:fldChar w:fldCharType="separate"/>
      </w:r>
      <w:r w:rsidR="00632E21" w:rsidRPr="00D42177">
        <w:rPr>
          <w:sz w:val="24"/>
          <w:szCs w:val="24"/>
        </w:rPr>
        <w:t>Table 1</w:t>
      </w:r>
      <w:r w:rsidR="00784E68">
        <w:fldChar w:fldCharType="end"/>
      </w:r>
      <w:r w:rsidRPr="00D42177">
        <w:rPr>
          <w:sz w:val="24"/>
          <w:szCs w:val="24"/>
          <w:lang w:val="en-GB" w:eastAsia="en-GB"/>
        </w:rPr>
        <w:t xml:space="preserve"> (GFEI, no date).</w:t>
      </w:r>
      <w:r w:rsidR="008275B3" w:rsidRPr="00D42177">
        <w:rPr>
          <w:sz w:val="24"/>
          <w:szCs w:val="24"/>
          <w:lang w:val="en-GB" w:eastAsia="en-GB"/>
        </w:rPr>
        <w:t xml:space="preserve"> </w:t>
      </w:r>
    </w:p>
    <w:p w:rsidR="008275B3" w:rsidRPr="008275B3" w:rsidRDefault="008275B3" w:rsidP="008275B3">
      <w:pPr>
        <w:pStyle w:val="Caption"/>
        <w:keepNext/>
        <w:spacing w:after="0"/>
        <w:jc w:val="center"/>
        <w:rPr>
          <w:color w:val="auto"/>
          <w:sz w:val="20"/>
          <w:szCs w:val="20"/>
        </w:rPr>
      </w:pPr>
      <w:bookmarkStart w:id="32" w:name="_Ref377538697"/>
      <w:bookmarkStart w:id="33" w:name="_Toc377544426"/>
      <w:r w:rsidRPr="008275B3">
        <w:rPr>
          <w:color w:val="auto"/>
          <w:sz w:val="20"/>
          <w:szCs w:val="20"/>
        </w:rPr>
        <w:t xml:space="preserve">Table </w:t>
      </w:r>
      <w:r w:rsidR="00EF653E" w:rsidRPr="008275B3">
        <w:rPr>
          <w:color w:val="auto"/>
          <w:sz w:val="20"/>
          <w:szCs w:val="20"/>
        </w:rPr>
        <w:fldChar w:fldCharType="begin"/>
      </w:r>
      <w:r w:rsidRPr="008275B3">
        <w:rPr>
          <w:color w:val="auto"/>
          <w:sz w:val="20"/>
          <w:szCs w:val="20"/>
        </w:rPr>
        <w:instrText xml:space="preserve"> SEQ Table \* ARABIC </w:instrText>
      </w:r>
      <w:r w:rsidR="00EF653E" w:rsidRPr="008275B3">
        <w:rPr>
          <w:color w:val="auto"/>
          <w:sz w:val="20"/>
          <w:szCs w:val="20"/>
        </w:rPr>
        <w:fldChar w:fldCharType="separate"/>
      </w:r>
      <w:r w:rsidR="00A51B03">
        <w:rPr>
          <w:noProof/>
          <w:color w:val="auto"/>
          <w:sz w:val="20"/>
          <w:szCs w:val="20"/>
        </w:rPr>
        <w:t>1</w:t>
      </w:r>
      <w:r w:rsidR="00EF653E" w:rsidRPr="008275B3">
        <w:rPr>
          <w:color w:val="auto"/>
          <w:sz w:val="20"/>
          <w:szCs w:val="20"/>
        </w:rPr>
        <w:fldChar w:fldCharType="end"/>
      </w:r>
      <w:bookmarkEnd w:id="32"/>
      <w:r w:rsidRPr="008275B3">
        <w:rPr>
          <w:color w:val="auto"/>
          <w:sz w:val="20"/>
          <w:szCs w:val="20"/>
          <w:lang w:val="en-GB"/>
        </w:rPr>
        <w:t>: Types of LDVs</w:t>
      </w:r>
      <w:bookmarkEnd w:id="33"/>
    </w:p>
    <w:tbl>
      <w:tblPr>
        <w:tblStyle w:val="LightList1"/>
        <w:tblW w:w="0" w:type="auto"/>
        <w:tblInd w:w="108" w:type="dxa"/>
        <w:tblLook w:val="04A0" w:firstRow="1" w:lastRow="0" w:firstColumn="1" w:lastColumn="0" w:noHBand="0" w:noVBand="1"/>
      </w:tblPr>
      <w:tblGrid>
        <w:gridCol w:w="6096"/>
        <w:gridCol w:w="3260"/>
      </w:tblGrid>
      <w:tr w:rsidR="00E67D02" w:rsidRPr="00751FBF" w:rsidTr="00751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hideMark/>
          </w:tcPr>
          <w:p w:rsidR="00E67D02" w:rsidRPr="00751FBF" w:rsidRDefault="00E67D02" w:rsidP="00E67D02">
            <w:pPr>
              <w:jc w:val="center"/>
              <w:rPr>
                <w:rFonts w:eastAsia="Times New Roman" w:cs="Times New Roman"/>
                <w:sz w:val="20"/>
                <w:szCs w:val="20"/>
              </w:rPr>
            </w:pPr>
            <w:r w:rsidRPr="00751FBF">
              <w:rPr>
                <w:rFonts w:eastAsia="Times New Roman" w:cs="Times New Roman"/>
                <w:sz w:val="20"/>
                <w:szCs w:val="20"/>
              </w:rPr>
              <w:t>Vehicle Segment</w:t>
            </w:r>
          </w:p>
        </w:tc>
        <w:tc>
          <w:tcPr>
            <w:tcW w:w="3260" w:type="dxa"/>
            <w:hideMark/>
          </w:tcPr>
          <w:p w:rsidR="00E67D02" w:rsidRPr="00751FBF" w:rsidRDefault="00E67D02" w:rsidP="00E67D0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751FBF">
              <w:rPr>
                <w:rFonts w:eastAsia="Times New Roman" w:cs="Times New Roman"/>
                <w:sz w:val="20"/>
                <w:szCs w:val="20"/>
              </w:rPr>
              <w:t>Examples</w:t>
            </w:r>
          </w:p>
        </w:tc>
      </w:tr>
      <w:tr w:rsidR="00E67D02" w:rsidRPr="00EC09A7" w:rsidTr="00751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hideMark/>
          </w:tcPr>
          <w:p w:rsidR="00E67D02" w:rsidRPr="00E67D02" w:rsidRDefault="00E67D02" w:rsidP="00751FBF">
            <w:pPr>
              <w:rPr>
                <w:rFonts w:eastAsia="Times New Roman" w:cs="Times New Roman"/>
                <w:color w:val="444444"/>
                <w:sz w:val="20"/>
                <w:szCs w:val="20"/>
              </w:rPr>
            </w:pPr>
            <w:r w:rsidRPr="00E67D02">
              <w:rPr>
                <w:rFonts w:eastAsia="Times New Roman" w:cs="Times New Roman"/>
                <w:color w:val="444444"/>
                <w:sz w:val="20"/>
                <w:szCs w:val="20"/>
              </w:rPr>
              <w:t>A: Mini / Micro / Small town car</w:t>
            </w:r>
            <w:r w:rsidRPr="00E67D02">
              <w:rPr>
                <w:rFonts w:eastAsia="Times New Roman" w:cs="Times New Roman"/>
                <w:color w:val="444444"/>
                <w:sz w:val="20"/>
                <w:szCs w:val="20"/>
              </w:rPr>
              <w:br/>
            </w:r>
            <w:r w:rsidRPr="00E67D02">
              <w:rPr>
                <w:rFonts w:eastAsia="Times New Roman" w:cs="Times New Roman"/>
                <w:i/>
                <w:iCs/>
                <w:color w:val="444444"/>
                <w:sz w:val="20"/>
                <w:szCs w:val="20"/>
              </w:rPr>
              <w:t>Smallest cars, with a length between 2.50m to 3.60m.</w:t>
            </w:r>
          </w:p>
        </w:tc>
        <w:tc>
          <w:tcPr>
            <w:tcW w:w="3260" w:type="dxa"/>
            <w:hideMark/>
          </w:tcPr>
          <w:p w:rsidR="00E67D02" w:rsidRPr="003639EC" w:rsidRDefault="00E67D02" w:rsidP="00E67D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444444"/>
                <w:sz w:val="20"/>
                <w:szCs w:val="20"/>
                <w:lang w:val="sv-SE"/>
              </w:rPr>
            </w:pPr>
            <w:r w:rsidRPr="003639EC">
              <w:rPr>
                <w:rFonts w:eastAsia="Times New Roman" w:cs="Times New Roman"/>
                <w:color w:val="444444"/>
                <w:sz w:val="20"/>
                <w:szCs w:val="20"/>
                <w:lang w:val="sv-SE"/>
              </w:rPr>
              <w:t xml:space="preserve">Citroën C1 </w:t>
            </w:r>
            <w:r w:rsidRPr="003639EC">
              <w:rPr>
                <w:rFonts w:eastAsia="Times New Roman" w:cs="Times New Roman"/>
                <w:color w:val="444444"/>
                <w:sz w:val="20"/>
                <w:szCs w:val="20"/>
                <w:lang w:val="sv-SE"/>
              </w:rPr>
              <w:br/>
              <w:t>Fiat Panda</w:t>
            </w:r>
            <w:r w:rsidRPr="003639EC">
              <w:rPr>
                <w:rFonts w:eastAsia="Times New Roman" w:cs="Times New Roman"/>
                <w:color w:val="444444"/>
                <w:sz w:val="20"/>
                <w:szCs w:val="20"/>
                <w:lang w:val="sv-SE"/>
              </w:rPr>
              <w:br/>
              <w:t>Smart Fortwo</w:t>
            </w:r>
          </w:p>
        </w:tc>
      </w:tr>
      <w:tr w:rsidR="00E67D02" w:rsidRPr="00E67D02" w:rsidTr="00751FBF">
        <w:tc>
          <w:tcPr>
            <w:cnfStyle w:val="001000000000" w:firstRow="0" w:lastRow="0" w:firstColumn="1" w:lastColumn="0" w:oddVBand="0" w:evenVBand="0" w:oddHBand="0" w:evenHBand="0" w:firstRowFirstColumn="0" w:firstRowLastColumn="0" w:lastRowFirstColumn="0" w:lastRowLastColumn="0"/>
            <w:tcW w:w="6096" w:type="dxa"/>
            <w:hideMark/>
          </w:tcPr>
          <w:p w:rsidR="00E67D02" w:rsidRPr="00E67D02" w:rsidRDefault="00E67D02" w:rsidP="00751FBF">
            <w:pPr>
              <w:rPr>
                <w:rFonts w:eastAsia="Times New Roman" w:cs="Times New Roman"/>
                <w:color w:val="444444"/>
                <w:sz w:val="20"/>
                <w:szCs w:val="20"/>
              </w:rPr>
            </w:pPr>
            <w:r w:rsidRPr="00E67D02">
              <w:rPr>
                <w:rFonts w:eastAsia="Times New Roman" w:cs="Times New Roman"/>
                <w:color w:val="444444"/>
                <w:sz w:val="20"/>
                <w:szCs w:val="20"/>
              </w:rPr>
              <w:t>B: Small compact</w:t>
            </w:r>
          </w:p>
          <w:p w:rsidR="00E67D02" w:rsidRPr="00E67D02" w:rsidRDefault="00E67D02" w:rsidP="00751FBF">
            <w:pPr>
              <w:rPr>
                <w:rFonts w:eastAsia="Times New Roman" w:cs="Times New Roman"/>
                <w:color w:val="444444"/>
                <w:sz w:val="20"/>
                <w:szCs w:val="20"/>
              </w:rPr>
            </w:pPr>
            <w:r w:rsidRPr="00E67D02">
              <w:rPr>
                <w:rFonts w:eastAsia="Times New Roman" w:cs="Times New Roman"/>
                <w:i/>
                <w:iCs/>
                <w:color w:val="444444"/>
                <w:sz w:val="20"/>
                <w:szCs w:val="20"/>
              </w:rPr>
              <w:t>Slightly more powerful than the Minis; still primarily for urban use; length between 3.60m and 4.05m</w:t>
            </w:r>
          </w:p>
        </w:tc>
        <w:tc>
          <w:tcPr>
            <w:tcW w:w="3260" w:type="dxa"/>
            <w:hideMark/>
          </w:tcPr>
          <w:p w:rsidR="00E67D02" w:rsidRPr="00E67D02" w:rsidRDefault="00E67D02" w:rsidP="00E67D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444444"/>
                <w:sz w:val="20"/>
                <w:szCs w:val="20"/>
              </w:rPr>
            </w:pPr>
            <w:r w:rsidRPr="00E67D02">
              <w:rPr>
                <w:rFonts w:eastAsia="Times New Roman" w:cs="Times New Roman"/>
                <w:color w:val="444444"/>
                <w:sz w:val="20"/>
                <w:szCs w:val="20"/>
              </w:rPr>
              <w:t xml:space="preserve">Mitsubishi Colt </w:t>
            </w:r>
            <w:r w:rsidRPr="00E67D02">
              <w:rPr>
                <w:rFonts w:eastAsia="Times New Roman" w:cs="Times New Roman"/>
                <w:color w:val="444444"/>
                <w:sz w:val="20"/>
                <w:szCs w:val="20"/>
              </w:rPr>
              <w:br/>
              <w:t xml:space="preserve">Opel Corsa </w:t>
            </w:r>
            <w:r w:rsidRPr="00E67D02">
              <w:rPr>
                <w:rFonts w:eastAsia="Times New Roman" w:cs="Times New Roman"/>
                <w:color w:val="444444"/>
                <w:sz w:val="20"/>
                <w:szCs w:val="20"/>
              </w:rPr>
              <w:br/>
              <w:t>Suzuki Swift</w:t>
            </w:r>
          </w:p>
        </w:tc>
      </w:tr>
      <w:tr w:rsidR="00E67D02" w:rsidRPr="00EC09A7" w:rsidTr="00751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hideMark/>
          </w:tcPr>
          <w:p w:rsidR="00E67D02" w:rsidRPr="00E67D02" w:rsidRDefault="00E67D02" w:rsidP="00751FBF">
            <w:pPr>
              <w:rPr>
                <w:rFonts w:eastAsia="Times New Roman" w:cs="Times New Roman"/>
                <w:color w:val="444444"/>
                <w:sz w:val="20"/>
                <w:szCs w:val="20"/>
              </w:rPr>
            </w:pPr>
            <w:r w:rsidRPr="00E67D02">
              <w:rPr>
                <w:rFonts w:eastAsia="Times New Roman" w:cs="Times New Roman"/>
                <w:color w:val="444444"/>
                <w:sz w:val="20"/>
                <w:szCs w:val="20"/>
              </w:rPr>
              <w:t>C: Compact</w:t>
            </w:r>
          </w:p>
          <w:p w:rsidR="00E67D02" w:rsidRPr="00E67D02" w:rsidRDefault="00E67D02" w:rsidP="00751FBF">
            <w:pPr>
              <w:rPr>
                <w:rFonts w:eastAsia="Times New Roman" w:cs="Times New Roman"/>
                <w:color w:val="444444"/>
                <w:sz w:val="20"/>
                <w:szCs w:val="20"/>
              </w:rPr>
            </w:pPr>
            <w:r w:rsidRPr="00E67D02">
              <w:rPr>
                <w:rFonts w:eastAsia="Times New Roman" w:cs="Times New Roman"/>
                <w:i/>
                <w:iCs/>
                <w:color w:val="444444"/>
                <w:sz w:val="20"/>
                <w:szCs w:val="20"/>
              </w:rPr>
              <w:t>Length between 4.05m – 4.50m</w:t>
            </w:r>
          </w:p>
        </w:tc>
        <w:tc>
          <w:tcPr>
            <w:tcW w:w="3260" w:type="dxa"/>
            <w:hideMark/>
          </w:tcPr>
          <w:p w:rsidR="00E67D02" w:rsidRPr="003639EC" w:rsidRDefault="00E67D02" w:rsidP="00E67D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444444"/>
                <w:sz w:val="20"/>
                <w:szCs w:val="20"/>
                <w:lang w:val="es-ES"/>
              </w:rPr>
            </w:pPr>
            <w:r w:rsidRPr="003639EC">
              <w:rPr>
                <w:rFonts w:eastAsia="Times New Roman" w:cs="Times New Roman"/>
                <w:color w:val="444444"/>
                <w:sz w:val="20"/>
                <w:szCs w:val="20"/>
                <w:lang w:val="es-ES"/>
              </w:rPr>
              <w:t xml:space="preserve">Mazda 3 </w:t>
            </w:r>
            <w:r w:rsidRPr="003639EC">
              <w:rPr>
                <w:rFonts w:eastAsia="Times New Roman" w:cs="Times New Roman"/>
                <w:color w:val="444444"/>
                <w:sz w:val="20"/>
                <w:szCs w:val="20"/>
                <w:lang w:val="es-ES"/>
              </w:rPr>
              <w:br/>
              <w:t>Subaru Impreza</w:t>
            </w:r>
            <w:r w:rsidRPr="003639EC">
              <w:rPr>
                <w:rFonts w:eastAsia="Times New Roman" w:cs="Times New Roman"/>
                <w:color w:val="444444"/>
                <w:sz w:val="20"/>
                <w:szCs w:val="20"/>
                <w:lang w:val="es-ES"/>
              </w:rPr>
              <w:br/>
              <w:t>Volvo S40</w:t>
            </w:r>
          </w:p>
        </w:tc>
      </w:tr>
      <w:tr w:rsidR="00E67D02" w:rsidRPr="00E67D02" w:rsidTr="00751FBF">
        <w:tc>
          <w:tcPr>
            <w:cnfStyle w:val="001000000000" w:firstRow="0" w:lastRow="0" w:firstColumn="1" w:lastColumn="0" w:oddVBand="0" w:evenVBand="0" w:oddHBand="0" w:evenHBand="0" w:firstRowFirstColumn="0" w:firstRowLastColumn="0" w:lastRowFirstColumn="0" w:lastRowLastColumn="0"/>
            <w:tcW w:w="6096" w:type="dxa"/>
            <w:hideMark/>
          </w:tcPr>
          <w:p w:rsidR="00E67D02" w:rsidRPr="00E67D02" w:rsidRDefault="00E67D02" w:rsidP="00751FBF">
            <w:pPr>
              <w:rPr>
                <w:rFonts w:eastAsia="Times New Roman" w:cs="Times New Roman"/>
                <w:color w:val="444444"/>
                <w:sz w:val="20"/>
                <w:szCs w:val="20"/>
              </w:rPr>
            </w:pPr>
            <w:r w:rsidRPr="00E67D02">
              <w:rPr>
                <w:rFonts w:eastAsia="Times New Roman" w:cs="Times New Roman"/>
                <w:color w:val="444444"/>
                <w:sz w:val="20"/>
                <w:szCs w:val="20"/>
              </w:rPr>
              <w:t>D: Family cars</w:t>
            </w:r>
          </w:p>
          <w:p w:rsidR="00E67D02" w:rsidRPr="00E67D02" w:rsidRDefault="00E67D02" w:rsidP="00751FBF">
            <w:pPr>
              <w:rPr>
                <w:rFonts w:eastAsia="Times New Roman" w:cs="Times New Roman"/>
                <w:color w:val="444444"/>
                <w:sz w:val="20"/>
                <w:szCs w:val="20"/>
              </w:rPr>
            </w:pPr>
            <w:r w:rsidRPr="00E67D02">
              <w:rPr>
                <w:rFonts w:eastAsia="Times New Roman" w:cs="Times New Roman"/>
                <w:i/>
                <w:iCs/>
                <w:color w:val="444444"/>
                <w:sz w:val="20"/>
                <w:szCs w:val="20"/>
              </w:rPr>
              <w:t>Designed for longer distance; fits 5- 6 people; length is 4.50m to 4.80m</w:t>
            </w:r>
          </w:p>
        </w:tc>
        <w:tc>
          <w:tcPr>
            <w:tcW w:w="3260" w:type="dxa"/>
            <w:hideMark/>
          </w:tcPr>
          <w:p w:rsidR="00E67D02" w:rsidRPr="00E67D02" w:rsidRDefault="00E67D02" w:rsidP="00E67D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444444"/>
                <w:sz w:val="20"/>
                <w:szCs w:val="20"/>
              </w:rPr>
            </w:pPr>
            <w:r w:rsidRPr="00E67D02">
              <w:rPr>
                <w:rFonts w:eastAsia="Times New Roman" w:cs="Times New Roman"/>
                <w:color w:val="444444"/>
                <w:sz w:val="20"/>
                <w:szCs w:val="20"/>
              </w:rPr>
              <w:t xml:space="preserve">BMW 3 series </w:t>
            </w:r>
            <w:r w:rsidRPr="00E67D02">
              <w:rPr>
                <w:rFonts w:eastAsia="Times New Roman" w:cs="Times New Roman"/>
                <w:color w:val="444444"/>
                <w:sz w:val="20"/>
                <w:szCs w:val="20"/>
              </w:rPr>
              <w:br/>
              <w:t xml:space="preserve">Chrysler Sebring </w:t>
            </w:r>
            <w:r w:rsidRPr="00E67D02">
              <w:rPr>
                <w:rFonts w:eastAsia="Times New Roman" w:cs="Times New Roman"/>
                <w:color w:val="444444"/>
                <w:sz w:val="20"/>
                <w:szCs w:val="20"/>
              </w:rPr>
              <w:br/>
              <w:t>Lexus IS</w:t>
            </w:r>
          </w:p>
        </w:tc>
      </w:tr>
      <w:tr w:rsidR="00E67D02" w:rsidRPr="00E67D02" w:rsidTr="00751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rsidR="00E67D02" w:rsidRPr="00E67D02" w:rsidRDefault="00E67D02" w:rsidP="00751FBF">
            <w:pPr>
              <w:rPr>
                <w:rFonts w:eastAsia="Times New Roman" w:cs="Times New Roman"/>
                <w:color w:val="444444"/>
                <w:sz w:val="20"/>
                <w:szCs w:val="20"/>
              </w:rPr>
            </w:pPr>
            <w:r w:rsidRPr="00E67D02">
              <w:rPr>
                <w:rFonts w:eastAsia="Times New Roman" w:cs="Times New Roman"/>
                <w:color w:val="444444"/>
                <w:sz w:val="20"/>
                <w:szCs w:val="20"/>
              </w:rPr>
              <w:t>Light vans</w:t>
            </w:r>
          </w:p>
          <w:p w:rsidR="00E67D02" w:rsidRPr="00E67D02" w:rsidRDefault="00E67D02" w:rsidP="00751FBF">
            <w:pPr>
              <w:rPr>
                <w:rFonts w:eastAsia="Times New Roman" w:cs="Times New Roman"/>
                <w:color w:val="444444"/>
                <w:sz w:val="20"/>
                <w:szCs w:val="20"/>
              </w:rPr>
            </w:pPr>
            <w:r w:rsidRPr="00E67D02">
              <w:rPr>
                <w:rFonts w:eastAsia="Times New Roman" w:cs="Times New Roman"/>
                <w:i/>
                <w:iCs/>
                <w:color w:val="444444"/>
                <w:sz w:val="20"/>
                <w:szCs w:val="20"/>
              </w:rPr>
              <w:t xml:space="preserve">Size is similar to D, but interior volume is </w:t>
            </w:r>
            <w:r w:rsidR="00751FBF" w:rsidRPr="00E67D02">
              <w:rPr>
                <w:rFonts w:eastAsia="Times New Roman" w:cs="Times New Roman"/>
                <w:i/>
                <w:iCs/>
                <w:color w:val="444444"/>
                <w:sz w:val="20"/>
                <w:szCs w:val="20"/>
              </w:rPr>
              <w:t>maximized</w:t>
            </w:r>
            <w:r w:rsidRPr="00E67D02">
              <w:rPr>
                <w:rFonts w:eastAsia="Times New Roman" w:cs="Times New Roman"/>
                <w:i/>
                <w:iCs/>
                <w:color w:val="444444"/>
                <w:sz w:val="20"/>
                <w:szCs w:val="20"/>
              </w:rPr>
              <w:t xml:space="preserve"> to accommodate </w:t>
            </w:r>
            <w:r w:rsidRPr="00E67D02">
              <w:rPr>
                <w:rFonts w:eastAsia="Times New Roman" w:cs="Times New Roman"/>
                <w:i/>
                <w:iCs/>
                <w:color w:val="444444"/>
                <w:sz w:val="20"/>
                <w:szCs w:val="20"/>
              </w:rPr>
              <w:lastRenderedPageBreak/>
              <w:t>larger families</w:t>
            </w:r>
          </w:p>
        </w:tc>
        <w:tc>
          <w:tcPr>
            <w:tcW w:w="3260" w:type="dxa"/>
            <w:shd w:val="clear" w:color="auto" w:fill="auto"/>
            <w:hideMark/>
          </w:tcPr>
          <w:p w:rsidR="00E67D02" w:rsidRPr="00E67D02" w:rsidRDefault="00E67D02" w:rsidP="00E67D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444444"/>
                <w:sz w:val="20"/>
                <w:szCs w:val="20"/>
              </w:rPr>
            </w:pPr>
            <w:r w:rsidRPr="00E67D02">
              <w:rPr>
                <w:rFonts w:eastAsia="Times New Roman" w:cs="Times New Roman"/>
                <w:color w:val="444444"/>
                <w:sz w:val="20"/>
                <w:szCs w:val="20"/>
              </w:rPr>
              <w:lastRenderedPageBreak/>
              <w:t xml:space="preserve">Chevrolet Uplander </w:t>
            </w:r>
            <w:r w:rsidRPr="00E67D02">
              <w:rPr>
                <w:rFonts w:eastAsia="Times New Roman" w:cs="Times New Roman"/>
                <w:color w:val="444444"/>
                <w:sz w:val="20"/>
                <w:szCs w:val="20"/>
              </w:rPr>
              <w:br/>
              <w:t>Ford Galaxy</w:t>
            </w:r>
            <w:r w:rsidRPr="00E67D02">
              <w:rPr>
                <w:rFonts w:eastAsia="Times New Roman" w:cs="Times New Roman"/>
                <w:color w:val="444444"/>
                <w:sz w:val="20"/>
                <w:szCs w:val="20"/>
              </w:rPr>
              <w:br/>
            </w:r>
            <w:r w:rsidRPr="00E67D02">
              <w:rPr>
                <w:rFonts w:eastAsia="Times New Roman" w:cs="Times New Roman"/>
                <w:color w:val="444444"/>
                <w:sz w:val="20"/>
                <w:szCs w:val="20"/>
              </w:rPr>
              <w:lastRenderedPageBreak/>
              <w:t>Volkswagen Sharan</w:t>
            </w:r>
          </w:p>
        </w:tc>
      </w:tr>
      <w:tr w:rsidR="00E67D02" w:rsidRPr="00E67D02" w:rsidTr="00751FBF">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rsidR="00E67D02" w:rsidRPr="00E67D02" w:rsidRDefault="00E67D02" w:rsidP="00751FBF">
            <w:pPr>
              <w:rPr>
                <w:rFonts w:eastAsia="Times New Roman" w:cs="Times New Roman"/>
                <w:color w:val="444444"/>
                <w:sz w:val="20"/>
                <w:szCs w:val="20"/>
              </w:rPr>
            </w:pPr>
            <w:r w:rsidRPr="00E67D02">
              <w:rPr>
                <w:rFonts w:eastAsia="Times New Roman" w:cs="Times New Roman"/>
                <w:color w:val="444444"/>
                <w:sz w:val="20"/>
                <w:szCs w:val="20"/>
              </w:rPr>
              <w:lastRenderedPageBreak/>
              <w:t>Big / Full size cars</w:t>
            </w:r>
            <w:r w:rsidRPr="00E67D02">
              <w:rPr>
                <w:rFonts w:eastAsia="Times New Roman" w:cs="Times New Roman"/>
                <w:color w:val="444444"/>
                <w:sz w:val="20"/>
                <w:szCs w:val="20"/>
              </w:rPr>
              <w:br/>
            </w:r>
            <w:r w:rsidRPr="00E67D02">
              <w:rPr>
                <w:rFonts w:eastAsia="Times New Roman" w:cs="Times New Roman"/>
                <w:i/>
                <w:iCs/>
                <w:color w:val="444444"/>
                <w:sz w:val="20"/>
                <w:szCs w:val="20"/>
              </w:rPr>
              <w:t>Have generous leg room; can comfortably transport 5 - 6 people; generally have</w:t>
            </w:r>
            <w:r w:rsidRPr="00E67D02">
              <w:rPr>
                <w:rFonts w:eastAsia="Times New Roman" w:cs="Times New Roman"/>
                <w:i/>
                <w:iCs/>
                <w:color w:val="444444"/>
                <w:sz w:val="20"/>
                <w:szCs w:val="20"/>
              </w:rPr>
              <w:br/>
              <w:t>V8 engines and are 5m or longer in length</w:t>
            </w:r>
          </w:p>
        </w:tc>
        <w:tc>
          <w:tcPr>
            <w:tcW w:w="3260" w:type="dxa"/>
            <w:shd w:val="clear" w:color="auto" w:fill="auto"/>
            <w:hideMark/>
          </w:tcPr>
          <w:p w:rsidR="00E67D02" w:rsidRPr="00E67D02" w:rsidRDefault="00E67D02" w:rsidP="00E67D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444444"/>
                <w:sz w:val="20"/>
                <w:szCs w:val="20"/>
              </w:rPr>
            </w:pPr>
            <w:r w:rsidRPr="00E67D02">
              <w:rPr>
                <w:rFonts w:eastAsia="Times New Roman" w:cs="Times New Roman"/>
                <w:color w:val="444444"/>
                <w:sz w:val="20"/>
                <w:szCs w:val="20"/>
              </w:rPr>
              <w:t xml:space="preserve">Cadillac DTS </w:t>
            </w:r>
            <w:r w:rsidRPr="00E67D02">
              <w:rPr>
                <w:rFonts w:eastAsia="Times New Roman" w:cs="Times New Roman"/>
                <w:color w:val="444444"/>
                <w:sz w:val="20"/>
                <w:szCs w:val="20"/>
              </w:rPr>
              <w:br/>
              <w:t xml:space="preserve">Jaguar XJ </w:t>
            </w:r>
            <w:r w:rsidRPr="00E67D02">
              <w:rPr>
                <w:rFonts w:eastAsia="Times New Roman" w:cs="Times New Roman"/>
                <w:color w:val="444444"/>
                <w:sz w:val="20"/>
                <w:szCs w:val="20"/>
              </w:rPr>
              <w:br/>
              <w:t>Mercedes-Benz E Class</w:t>
            </w:r>
          </w:p>
        </w:tc>
      </w:tr>
      <w:tr w:rsidR="00E67D02" w:rsidRPr="00E67D02" w:rsidTr="00751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hideMark/>
          </w:tcPr>
          <w:p w:rsidR="00E67D02" w:rsidRPr="00E67D02" w:rsidRDefault="00E67D02" w:rsidP="00751FBF">
            <w:pPr>
              <w:rPr>
                <w:rFonts w:eastAsia="Times New Roman" w:cs="Times New Roman"/>
                <w:color w:val="444444"/>
                <w:sz w:val="20"/>
                <w:szCs w:val="20"/>
              </w:rPr>
            </w:pPr>
            <w:r w:rsidRPr="00E67D02">
              <w:rPr>
                <w:rFonts w:eastAsia="Times New Roman" w:cs="Times New Roman"/>
                <w:color w:val="444444"/>
                <w:sz w:val="20"/>
                <w:szCs w:val="20"/>
              </w:rPr>
              <w:t>SUV / All terrain</w:t>
            </w:r>
          </w:p>
          <w:p w:rsidR="00E67D02" w:rsidRPr="00E67D02" w:rsidRDefault="00E67D02" w:rsidP="00751FBF">
            <w:pPr>
              <w:rPr>
                <w:rFonts w:eastAsia="Times New Roman" w:cs="Times New Roman"/>
                <w:color w:val="444444"/>
                <w:sz w:val="20"/>
                <w:szCs w:val="20"/>
              </w:rPr>
            </w:pPr>
            <w:r w:rsidRPr="00E67D02">
              <w:rPr>
                <w:rFonts w:eastAsia="Times New Roman" w:cs="Times New Roman"/>
                <w:i/>
                <w:iCs/>
                <w:color w:val="444444"/>
                <w:sz w:val="20"/>
                <w:szCs w:val="20"/>
              </w:rPr>
              <w:t>The original cars were utility cross-country vehicles with integral transmissions like the Jeep</w:t>
            </w:r>
          </w:p>
        </w:tc>
        <w:tc>
          <w:tcPr>
            <w:tcW w:w="3260" w:type="dxa"/>
            <w:hideMark/>
          </w:tcPr>
          <w:p w:rsidR="00E67D02" w:rsidRPr="00E67D02" w:rsidRDefault="00E67D02" w:rsidP="00E67D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444444"/>
                <w:sz w:val="20"/>
                <w:szCs w:val="20"/>
              </w:rPr>
            </w:pPr>
            <w:r w:rsidRPr="00E67D02">
              <w:rPr>
                <w:rFonts w:eastAsia="Times New Roman" w:cs="Times New Roman"/>
                <w:color w:val="444444"/>
                <w:sz w:val="20"/>
                <w:szCs w:val="20"/>
              </w:rPr>
              <w:t xml:space="preserve">Dodge Durango </w:t>
            </w:r>
            <w:r w:rsidRPr="00E67D02">
              <w:rPr>
                <w:rFonts w:eastAsia="Times New Roman" w:cs="Times New Roman"/>
                <w:color w:val="444444"/>
                <w:sz w:val="20"/>
                <w:szCs w:val="20"/>
              </w:rPr>
              <w:br/>
              <w:t xml:space="preserve">Jeep Grand Cherokee </w:t>
            </w:r>
            <w:r w:rsidRPr="00E67D02">
              <w:rPr>
                <w:rFonts w:eastAsia="Times New Roman" w:cs="Times New Roman"/>
                <w:color w:val="444444"/>
                <w:sz w:val="20"/>
                <w:szCs w:val="20"/>
              </w:rPr>
              <w:br/>
              <w:t>Nissan Patrol</w:t>
            </w:r>
            <w:r w:rsidRPr="00E67D02">
              <w:rPr>
                <w:rFonts w:eastAsia="Times New Roman" w:cs="Times New Roman"/>
                <w:color w:val="444444"/>
                <w:sz w:val="20"/>
                <w:szCs w:val="20"/>
              </w:rPr>
              <w:br/>
              <w:t>Toyota Land Cruiser</w:t>
            </w:r>
          </w:p>
        </w:tc>
      </w:tr>
    </w:tbl>
    <w:p w:rsidR="000E2F65" w:rsidRPr="00B44DA8" w:rsidRDefault="00B44DA8" w:rsidP="00B44DA8">
      <w:pPr>
        <w:pStyle w:val="ListParagraph"/>
        <w:jc w:val="center"/>
        <w:rPr>
          <w:sz w:val="20"/>
          <w:szCs w:val="20"/>
          <w:lang w:val="en-GB" w:eastAsia="en-GB"/>
        </w:rPr>
      </w:pPr>
      <w:r w:rsidRPr="00B44DA8">
        <w:rPr>
          <w:sz w:val="20"/>
          <w:szCs w:val="20"/>
          <w:lang w:val="en-GB" w:eastAsia="en-GB"/>
        </w:rPr>
        <w:t>Source: GFEI, no date</w:t>
      </w:r>
    </w:p>
    <w:p w:rsidR="00293C32" w:rsidRDefault="00293C32" w:rsidP="00293C32">
      <w:pPr>
        <w:pStyle w:val="ListParagraph"/>
        <w:spacing w:after="0" w:line="240" w:lineRule="auto"/>
        <w:jc w:val="both"/>
        <w:rPr>
          <w:rFonts w:cs="Times New Roman"/>
          <w:sz w:val="24"/>
          <w:szCs w:val="24"/>
        </w:rPr>
      </w:pPr>
    </w:p>
    <w:p w:rsidR="00E2361B" w:rsidRDefault="00E2361B" w:rsidP="001310CB">
      <w:pPr>
        <w:pStyle w:val="ListParagraph"/>
        <w:numPr>
          <w:ilvl w:val="0"/>
          <w:numId w:val="12"/>
        </w:numPr>
        <w:spacing w:after="0" w:line="240" w:lineRule="auto"/>
        <w:jc w:val="both"/>
        <w:rPr>
          <w:sz w:val="24"/>
          <w:szCs w:val="24"/>
          <w:lang w:val="en-GB"/>
        </w:rPr>
      </w:pPr>
      <w:r>
        <w:rPr>
          <w:sz w:val="24"/>
          <w:szCs w:val="24"/>
          <w:lang w:val="en-GB"/>
        </w:rPr>
        <w:t xml:space="preserve">Correct data entry errors. </w:t>
      </w:r>
    </w:p>
    <w:p w:rsidR="00BD778B" w:rsidRDefault="00BD778B" w:rsidP="00BD778B">
      <w:pPr>
        <w:pStyle w:val="Heading2"/>
        <w:numPr>
          <w:ilvl w:val="1"/>
          <w:numId w:val="15"/>
        </w:numPr>
        <w:spacing w:after="0"/>
        <w:jc w:val="both"/>
        <w:rPr>
          <w:sz w:val="24"/>
          <w:szCs w:val="24"/>
        </w:rPr>
      </w:pPr>
      <w:bookmarkStart w:id="34" w:name="_Toc377544404"/>
      <w:r>
        <w:rPr>
          <w:sz w:val="24"/>
          <w:szCs w:val="24"/>
        </w:rPr>
        <w:t>Structure the data set:</w:t>
      </w:r>
      <w:bookmarkEnd w:id="34"/>
    </w:p>
    <w:p w:rsidR="00BD778B" w:rsidRDefault="00907A9F" w:rsidP="00A51B03">
      <w:pPr>
        <w:pStyle w:val="ListParagraph"/>
        <w:numPr>
          <w:ilvl w:val="0"/>
          <w:numId w:val="12"/>
        </w:numPr>
        <w:spacing w:after="0" w:line="240" w:lineRule="auto"/>
        <w:jc w:val="both"/>
        <w:rPr>
          <w:sz w:val="24"/>
          <w:szCs w:val="24"/>
          <w:lang w:val="en-GB" w:eastAsia="en-GB"/>
        </w:rPr>
      </w:pPr>
      <w:r w:rsidRPr="00D42177">
        <w:rPr>
          <w:sz w:val="24"/>
          <w:szCs w:val="24"/>
          <w:lang w:val="en-GB" w:eastAsia="en-GB"/>
        </w:rPr>
        <w:t xml:space="preserve">New LDVs data are extracted from the data set based on the year of manufacture (2005, 2008, 2010, 2012). </w:t>
      </w:r>
    </w:p>
    <w:p w:rsidR="00D10CCC" w:rsidRPr="00A51B03" w:rsidRDefault="00D10CCC" w:rsidP="00A51B03">
      <w:pPr>
        <w:pStyle w:val="ListParagraph"/>
        <w:numPr>
          <w:ilvl w:val="0"/>
          <w:numId w:val="12"/>
        </w:numPr>
        <w:spacing w:after="0" w:line="240" w:lineRule="auto"/>
        <w:jc w:val="both"/>
        <w:rPr>
          <w:sz w:val="24"/>
          <w:szCs w:val="24"/>
          <w:lang w:val="en-GB" w:eastAsia="en-GB"/>
        </w:rPr>
      </w:pPr>
      <w:r>
        <w:rPr>
          <w:sz w:val="24"/>
          <w:szCs w:val="24"/>
          <w:lang w:val="en-GB" w:eastAsia="en-GB"/>
        </w:rPr>
        <w:t xml:space="preserve">Find fuel </w:t>
      </w:r>
      <w:r w:rsidRPr="00A51B03">
        <w:rPr>
          <w:sz w:val="24"/>
          <w:szCs w:val="24"/>
          <w:lang w:val="en-GB" w:eastAsia="en-GB"/>
        </w:rPr>
        <w:t>economy and CO</w:t>
      </w:r>
      <w:r w:rsidRPr="00A51B03">
        <w:rPr>
          <w:sz w:val="24"/>
          <w:szCs w:val="24"/>
          <w:vertAlign w:val="subscript"/>
          <w:lang w:val="en-GB" w:eastAsia="en-GB"/>
        </w:rPr>
        <w:t>2</w:t>
      </w:r>
      <w:r w:rsidRPr="00A51B03">
        <w:rPr>
          <w:sz w:val="24"/>
          <w:szCs w:val="24"/>
          <w:lang w:val="en-GB" w:eastAsia="en-GB"/>
        </w:rPr>
        <w:t xml:space="preserve"> emission factors for Bahraini LDVs. Data sources and contacts are briefed in</w:t>
      </w:r>
      <w:r w:rsidR="00A51B03" w:rsidRPr="00A51B03">
        <w:rPr>
          <w:sz w:val="24"/>
          <w:szCs w:val="24"/>
          <w:lang w:val="en-GB" w:eastAsia="en-GB"/>
        </w:rPr>
        <w:t xml:space="preserve"> </w:t>
      </w:r>
      <w:r w:rsidR="00784E68">
        <w:fldChar w:fldCharType="begin"/>
      </w:r>
      <w:r w:rsidR="00784E68">
        <w:instrText xml:space="preserve"> REF _Ref377541141 \h  \* MERGEFORMAT </w:instrText>
      </w:r>
      <w:r w:rsidR="00784E68">
        <w:fldChar w:fldCharType="separate"/>
      </w:r>
      <w:r w:rsidR="00A51B03" w:rsidRPr="00A51B03">
        <w:rPr>
          <w:sz w:val="24"/>
          <w:szCs w:val="24"/>
        </w:rPr>
        <w:t>Table 2</w:t>
      </w:r>
      <w:r w:rsidR="00784E68">
        <w:fldChar w:fldCharType="end"/>
      </w:r>
      <w:r w:rsidRPr="00A51B03">
        <w:rPr>
          <w:sz w:val="24"/>
          <w:szCs w:val="24"/>
          <w:lang w:val="en-GB" w:eastAsia="en-GB"/>
        </w:rPr>
        <w:t>.</w:t>
      </w:r>
    </w:p>
    <w:p w:rsidR="00A51B03" w:rsidRDefault="00A51B03" w:rsidP="00A51B03">
      <w:pPr>
        <w:pStyle w:val="ListParagraph"/>
        <w:spacing w:after="0" w:line="240" w:lineRule="auto"/>
        <w:jc w:val="both"/>
        <w:rPr>
          <w:sz w:val="24"/>
          <w:szCs w:val="24"/>
          <w:lang w:val="en-GB" w:eastAsia="en-GB"/>
        </w:rPr>
      </w:pPr>
    </w:p>
    <w:p w:rsidR="00A51B03" w:rsidRPr="00A51B03" w:rsidRDefault="00A51B03" w:rsidP="00A51B03">
      <w:pPr>
        <w:pStyle w:val="Caption"/>
        <w:keepNext/>
        <w:spacing w:after="0"/>
        <w:jc w:val="center"/>
        <w:rPr>
          <w:color w:val="auto"/>
          <w:sz w:val="20"/>
          <w:szCs w:val="20"/>
        </w:rPr>
      </w:pPr>
      <w:bookmarkStart w:id="35" w:name="_Ref377541141"/>
      <w:bookmarkStart w:id="36" w:name="_Toc377544427"/>
      <w:r w:rsidRPr="00A51B03">
        <w:rPr>
          <w:color w:val="auto"/>
          <w:sz w:val="20"/>
          <w:szCs w:val="20"/>
        </w:rPr>
        <w:t xml:space="preserve">Table </w:t>
      </w:r>
      <w:r w:rsidR="00EF653E" w:rsidRPr="00A51B03">
        <w:rPr>
          <w:color w:val="auto"/>
          <w:sz w:val="20"/>
          <w:szCs w:val="20"/>
        </w:rPr>
        <w:fldChar w:fldCharType="begin"/>
      </w:r>
      <w:r w:rsidRPr="00A51B03">
        <w:rPr>
          <w:color w:val="auto"/>
          <w:sz w:val="20"/>
          <w:szCs w:val="20"/>
        </w:rPr>
        <w:instrText xml:space="preserve"> SEQ Table \* ARABIC </w:instrText>
      </w:r>
      <w:r w:rsidR="00EF653E" w:rsidRPr="00A51B03">
        <w:rPr>
          <w:color w:val="auto"/>
          <w:sz w:val="20"/>
          <w:szCs w:val="20"/>
        </w:rPr>
        <w:fldChar w:fldCharType="separate"/>
      </w:r>
      <w:r w:rsidRPr="00A51B03">
        <w:rPr>
          <w:noProof/>
          <w:color w:val="auto"/>
          <w:sz w:val="20"/>
          <w:szCs w:val="20"/>
        </w:rPr>
        <w:t>2</w:t>
      </w:r>
      <w:r w:rsidR="00EF653E" w:rsidRPr="00A51B03">
        <w:rPr>
          <w:color w:val="auto"/>
          <w:sz w:val="20"/>
          <w:szCs w:val="20"/>
        </w:rPr>
        <w:fldChar w:fldCharType="end"/>
      </w:r>
      <w:bookmarkEnd w:id="35"/>
      <w:r w:rsidRPr="00A51B03">
        <w:rPr>
          <w:color w:val="auto"/>
          <w:sz w:val="20"/>
          <w:szCs w:val="20"/>
          <w:lang w:val="en-GB"/>
        </w:rPr>
        <w:t>: Data sources and contacts</w:t>
      </w:r>
      <w:bookmarkEnd w:id="36"/>
    </w:p>
    <w:tbl>
      <w:tblPr>
        <w:tblStyle w:val="LightList1"/>
        <w:tblW w:w="0" w:type="auto"/>
        <w:jc w:val="center"/>
        <w:tblLayout w:type="fixed"/>
        <w:tblLook w:val="04A0" w:firstRow="1" w:lastRow="0" w:firstColumn="1" w:lastColumn="0" w:noHBand="0" w:noVBand="1"/>
      </w:tblPr>
      <w:tblGrid>
        <w:gridCol w:w="939"/>
        <w:gridCol w:w="5265"/>
        <w:gridCol w:w="3372"/>
      </w:tblGrid>
      <w:tr w:rsidR="0075081B" w:rsidRPr="00ED258D" w:rsidTr="007508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9" w:type="dxa"/>
            <w:vAlign w:val="center"/>
          </w:tcPr>
          <w:p w:rsidR="00ED258D" w:rsidRPr="00ED258D" w:rsidRDefault="00ED258D" w:rsidP="00F36CA5">
            <w:pPr>
              <w:jc w:val="center"/>
              <w:rPr>
                <w:sz w:val="20"/>
                <w:szCs w:val="20"/>
                <w:lang w:val="en-GB" w:eastAsia="en-GB"/>
              </w:rPr>
            </w:pPr>
            <w:r w:rsidRPr="00ED258D">
              <w:rPr>
                <w:sz w:val="20"/>
                <w:szCs w:val="20"/>
                <w:lang w:val="en-GB" w:eastAsia="en-GB"/>
              </w:rPr>
              <w:t>Country</w:t>
            </w:r>
          </w:p>
        </w:tc>
        <w:tc>
          <w:tcPr>
            <w:tcW w:w="5265" w:type="dxa"/>
            <w:vAlign w:val="center"/>
          </w:tcPr>
          <w:p w:rsidR="00ED258D" w:rsidRPr="00ED258D" w:rsidRDefault="00ED258D" w:rsidP="00F36CA5">
            <w:pPr>
              <w:jc w:val="center"/>
              <w:cnfStyle w:val="100000000000" w:firstRow="1" w:lastRow="0" w:firstColumn="0" w:lastColumn="0" w:oddVBand="0" w:evenVBand="0" w:oddHBand="0" w:evenHBand="0" w:firstRowFirstColumn="0" w:firstRowLastColumn="0" w:lastRowFirstColumn="0" w:lastRowLastColumn="0"/>
              <w:rPr>
                <w:sz w:val="20"/>
                <w:szCs w:val="20"/>
                <w:lang w:val="en-GB" w:eastAsia="en-GB"/>
              </w:rPr>
            </w:pPr>
            <w:r w:rsidRPr="00ED258D">
              <w:rPr>
                <w:sz w:val="20"/>
                <w:szCs w:val="20"/>
                <w:lang w:val="en-GB" w:eastAsia="en-GB"/>
              </w:rPr>
              <w:t>Source</w:t>
            </w:r>
          </w:p>
        </w:tc>
        <w:tc>
          <w:tcPr>
            <w:tcW w:w="3372" w:type="dxa"/>
            <w:vAlign w:val="center"/>
          </w:tcPr>
          <w:p w:rsidR="00ED258D" w:rsidRPr="00ED258D" w:rsidRDefault="00ED258D" w:rsidP="0075081B">
            <w:pPr>
              <w:jc w:val="center"/>
              <w:cnfStyle w:val="100000000000" w:firstRow="1" w:lastRow="0" w:firstColumn="0" w:lastColumn="0" w:oddVBand="0" w:evenVBand="0" w:oddHBand="0" w:evenHBand="0" w:firstRowFirstColumn="0" w:firstRowLastColumn="0" w:lastRowFirstColumn="0" w:lastRowLastColumn="0"/>
              <w:rPr>
                <w:sz w:val="20"/>
                <w:szCs w:val="20"/>
                <w:lang w:val="en-GB" w:eastAsia="en-GB"/>
              </w:rPr>
            </w:pPr>
            <w:r w:rsidRPr="00ED258D">
              <w:rPr>
                <w:sz w:val="20"/>
                <w:szCs w:val="20"/>
                <w:lang w:val="en-GB" w:eastAsia="en-GB"/>
              </w:rPr>
              <w:t>Comments</w:t>
            </w:r>
          </w:p>
        </w:tc>
      </w:tr>
      <w:tr w:rsidR="0075081B" w:rsidRPr="00ED258D" w:rsidTr="007508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9" w:type="dxa"/>
            <w:vAlign w:val="center"/>
          </w:tcPr>
          <w:p w:rsidR="00ED258D" w:rsidRPr="00ED258D" w:rsidRDefault="00ED258D" w:rsidP="001460DB">
            <w:pPr>
              <w:jc w:val="center"/>
              <w:rPr>
                <w:rFonts w:eastAsia="Times New Roman" w:cs="Times New Roman"/>
                <w:b w:val="0"/>
                <w:bCs w:val="0"/>
                <w:sz w:val="20"/>
                <w:szCs w:val="20"/>
              </w:rPr>
            </w:pPr>
            <w:r w:rsidRPr="00ED258D">
              <w:rPr>
                <w:rFonts w:eastAsia="Times New Roman" w:cs="Times New Roman"/>
                <w:b w:val="0"/>
                <w:bCs w:val="0"/>
                <w:sz w:val="20"/>
                <w:szCs w:val="20"/>
              </w:rPr>
              <w:t>USA</w:t>
            </w:r>
          </w:p>
        </w:tc>
        <w:tc>
          <w:tcPr>
            <w:tcW w:w="5265" w:type="dxa"/>
            <w:vAlign w:val="center"/>
          </w:tcPr>
          <w:p w:rsidR="00ED258D" w:rsidRPr="00ED258D" w:rsidRDefault="00ED258D" w:rsidP="00F36CA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258D">
              <w:rPr>
                <w:rFonts w:eastAsia="Times New Roman" w:cs="Times New Roman"/>
                <w:sz w:val="20"/>
                <w:szCs w:val="20"/>
              </w:rPr>
              <w:t>DoE / EPA Fuel Economy ratings</w:t>
            </w:r>
          </w:p>
          <w:p w:rsidR="00ED258D" w:rsidRPr="00ED258D" w:rsidRDefault="005B4134" w:rsidP="00F36CA5">
            <w:pPr>
              <w:cnfStyle w:val="000000100000" w:firstRow="0" w:lastRow="0" w:firstColumn="0" w:lastColumn="0" w:oddVBand="0" w:evenVBand="0" w:oddHBand="1" w:evenHBand="0" w:firstRowFirstColumn="0" w:firstRowLastColumn="0" w:lastRowFirstColumn="0" w:lastRowLastColumn="0"/>
              <w:rPr>
                <w:sz w:val="20"/>
                <w:szCs w:val="20"/>
                <w:lang w:val="en-GB" w:eastAsia="en-GB"/>
              </w:rPr>
            </w:pPr>
            <w:hyperlink r:id="rId33" w:history="1">
              <w:r w:rsidR="00ED258D" w:rsidRPr="00ED258D">
                <w:rPr>
                  <w:rStyle w:val="Hyperlink"/>
                  <w:rFonts w:eastAsia="Times New Roman" w:cs="Times New Roman"/>
                  <w:color w:val="auto"/>
                  <w:sz w:val="20"/>
                  <w:szCs w:val="20"/>
                </w:rPr>
                <w:t>www.fueleconomy.gov/</w:t>
              </w:r>
            </w:hyperlink>
            <w:r w:rsidR="00ED258D" w:rsidRPr="00ED258D">
              <w:rPr>
                <w:rFonts w:eastAsia="Times New Roman" w:cs="Times New Roman"/>
                <w:sz w:val="20"/>
                <w:szCs w:val="20"/>
              </w:rPr>
              <w:t xml:space="preserve"> </w:t>
            </w:r>
          </w:p>
        </w:tc>
        <w:tc>
          <w:tcPr>
            <w:tcW w:w="3372" w:type="dxa"/>
            <w:vAlign w:val="center"/>
          </w:tcPr>
          <w:p w:rsidR="00ED258D" w:rsidRPr="00ED258D" w:rsidRDefault="00EE1C09" w:rsidP="0075081B">
            <w:pPr>
              <w:cnfStyle w:val="000000100000" w:firstRow="0" w:lastRow="0" w:firstColumn="0" w:lastColumn="0" w:oddVBand="0" w:evenVBand="0" w:oddHBand="1" w:evenHBand="0" w:firstRowFirstColumn="0" w:firstRowLastColumn="0" w:lastRowFirstColumn="0" w:lastRowLastColumn="0"/>
              <w:rPr>
                <w:sz w:val="20"/>
                <w:szCs w:val="20"/>
                <w:lang w:val="en-GB" w:eastAsia="en-GB"/>
              </w:rPr>
            </w:pPr>
            <w:r>
              <w:rPr>
                <w:sz w:val="20"/>
                <w:szCs w:val="20"/>
                <w:lang w:val="en-GB" w:eastAsia="en-GB"/>
              </w:rPr>
              <w:t>This website is used to obtain fuel economy and CO</w:t>
            </w:r>
            <w:r w:rsidRPr="00EE1C09">
              <w:rPr>
                <w:sz w:val="20"/>
                <w:szCs w:val="20"/>
                <w:vertAlign w:val="subscript"/>
                <w:lang w:val="en-GB" w:eastAsia="en-GB"/>
              </w:rPr>
              <w:t>2</w:t>
            </w:r>
            <w:r>
              <w:rPr>
                <w:sz w:val="20"/>
                <w:szCs w:val="20"/>
                <w:lang w:val="en-GB" w:eastAsia="en-GB"/>
              </w:rPr>
              <w:t xml:space="preserve"> emissions data</w:t>
            </w:r>
          </w:p>
        </w:tc>
      </w:tr>
      <w:tr w:rsidR="0075081B" w:rsidRPr="00ED258D" w:rsidTr="0075081B">
        <w:trPr>
          <w:jc w:val="center"/>
        </w:trPr>
        <w:tc>
          <w:tcPr>
            <w:cnfStyle w:val="001000000000" w:firstRow="0" w:lastRow="0" w:firstColumn="1" w:lastColumn="0" w:oddVBand="0" w:evenVBand="0" w:oddHBand="0" w:evenHBand="0" w:firstRowFirstColumn="0" w:firstRowLastColumn="0" w:lastRowFirstColumn="0" w:lastRowLastColumn="0"/>
            <w:tcW w:w="939" w:type="dxa"/>
            <w:vAlign w:val="center"/>
          </w:tcPr>
          <w:p w:rsidR="00ED258D" w:rsidRPr="00ED258D" w:rsidRDefault="00ED258D" w:rsidP="001460DB">
            <w:pPr>
              <w:jc w:val="center"/>
              <w:rPr>
                <w:b w:val="0"/>
                <w:bCs w:val="0"/>
                <w:sz w:val="20"/>
                <w:szCs w:val="20"/>
                <w:lang w:val="en-GB" w:eastAsia="en-GB"/>
              </w:rPr>
            </w:pPr>
            <w:r w:rsidRPr="00ED258D">
              <w:rPr>
                <w:b w:val="0"/>
                <w:bCs w:val="0"/>
                <w:sz w:val="20"/>
                <w:szCs w:val="20"/>
                <w:lang w:val="en-GB" w:eastAsia="en-GB"/>
              </w:rPr>
              <w:t>China</w:t>
            </w:r>
          </w:p>
        </w:tc>
        <w:tc>
          <w:tcPr>
            <w:tcW w:w="5265" w:type="dxa"/>
            <w:vAlign w:val="center"/>
          </w:tcPr>
          <w:p w:rsidR="00ED258D" w:rsidRPr="00ED258D" w:rsidRDefault="005B4134" w:rsidP="00F36CA5">
            <w:pPr>
              <w:cnfStyle w:val="000000000000" w:firstRow="0" w:lastRow="0" w:firstColumn="0" w:lastColumn="0" w:oddVBand="0" w:evenVBand="0" w:oddHBand="0" w:evenHBand="0" w:firstRowFirstColumn="0" w:firstRowLastColumn="0" w:lastRowFirstColumn="0" w:lastRowLastColumn="0"/>
              <w:rPr>
                <w:sz w:val="20"/>
                <w:szCs w:val="20"/>
                <w:lang w:val="en-GB" w:eastAsia="en-GB"/>
              </w:rPr>
            </w:pPr>
            <w:hyperlink r:id="rId34" w:history="1">
              <w:r w:rsidR="00ED258D" w:rsidRPr="00ED258D">
                <w:rPr>
                  <w:rStyle w:val="Hyperlink"/>
                  <w:rFonts w:eastAsia="Times New Roman" w:cs="Times New Roman"/>
                  <w:color w:val="auto"/>
                  <w:sz w:val="20"/>
                  <w:szCs w:val="20"/>
                </w:rPr>
                <w:t>www.gzly.miit.gov.cn:8090/datainfo/miit/babs2.jsp</w:t>
              </w:r>
            </w:hyperlink>
            <w:r w:rsidR="00ED258D" w:rsidRPr="00ED258D">
              <w:rPr>
                <w:rFonts w:eastAsia="Times New Roman" w:cs="Times New Roman"/>
                <w:sz w:val="20"/>
                <w:szCs w:val="20"/>
              </w:rPr>
              <w:t xml:space="preserve"> </w:t>
            </w:r>
          </w:p>
        </w:tc>
        <w:tc>
          <w:tcPr>
            <w:tcW w:w="3372" w:type="dxa"/>
            <w:vAlign w:val="center"/>
          </w:tcPr>
          <w:p w:rsidR="00ED258D" w:rsidRPr="00ED258D" w:rsidRDefault="008F4755" w:rsidP="0075081B">
            <w:pPr>
              <w:cnfStyle w:val="000000000000" w:firstRow="0" w:lastRow="0" w:firstColumn="0" w:lastColumn="0" w:oddVBand="0" w:evenVBand="0" w:oddHBand="0" w:evenHBand="0" w:firstRowFirstColumn="0" w:firstRowLastColumn="0" w:lastRowFirstColumn="0" w:lastRowLastColumn="0"/>
              <w:rPr>
                <w:sz w:val="20"/>
                <w:szCs w:val="20"/>
                <w:lang w:val="en-GB" w:eastAsia="en-GB"/>
              </w:rPr>
            </w:pPr>
            <w:r>
              <w:rPr>
                <w:sz w:val="20"/>
                <w:szCs w:val="20"/>
                <w:lang w:val="en-GB" w:eastAsia="en-GB"/>
              </w:rPr>
              <w:t>Couldn’t use and couldn’t use Google Translate</w:t>
            </w:r>
          </w:p>
        </w:tc>
      </w:tr>
      <w:tr w:rsidR="0075081B" w:rsidRPr="00ED258D" w:rsidTr="007508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9" w:type="dxa"/>
            <w:vAlign w:val="center"/>
          </w:tcPr>
          <w:p w:rsidR="00ED258D" w:rsidRPr="00ED258D" w:rsidRDefault="00ED258D" w:rsidP="001460DB">
            <w:pPr>
              <w:jc w:val="center"/>
              <w:rPr>
                <w:b w:val="0"/>
                <w:bCs w:val="0"/>
                <w:sz w:val="20"/>
                <w:szCs w:val="20"/>
                <w:lang w:val="en-GB" w:eastAsia="en-GB"/>
              </w:rPr>
            </w:pPr>
            <w:r w:rsidRPr="00ED258D">
              <w:rPr>
                <w:b w:val="0"/>
                <w:bCs w:val="0"/>
                <w:sz w:val="20"/>
                <w:szCs w:val="20"/>
                <w:lang w:val="en-GB" w:eastAsia="en-GB"/>
              </w:rPr>
              <w:t>UK</w:t>
            </w:r>
          </w:p>
        </w:tc>
        <w:tc>
          <w:tcPr>
            <w:tcW w:w="5265" w:type="dxa"/>
            <w:vAlign w:val="center"/>
          </w:tcPr>
          <w:p w:rsidR="00ED258D" w:rsidRPr="00ED258D" w:rsidRDefault="00ED258D" w:rsidP="00F36CA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258D">
              <w:rPr>
                <w:rFonts w:eastAsia="Times New Roman" w:cs="Times New Roman"/>
                <w:sz w:val="20"/>
                <w:szCs w:val="20"/>
              </w:rPr>
              <w:t>Car Fuel Data Booklet</w:t>
            </w:r>
          </w:p>
          <w:p w:rsidR="00ED258D" w:rsidRPr="00ED258D" w:rsidRDefault="005B4134" w:rsidP="00F36CA5">
            <w:pPr>
              <w:cnfStyle w:val="000000100000" w:firstRow="0" w:lastRow="0" w:firstColumn="0" w:lastColumn="0" w:oddVBand="0" w:evenVBand="0" w:oddHBand="1" w:evenHBand="0" w:firstRowFirstColumn="0" w:firstRowLastColumn="0" w:lastRowFirstColumn="0" w:lastRowLastColumn="0"/>
              <w:rPr>
                <w:sz w:val="20"/>
                <w:szCs w:val="20"/>
                <w:lang w:val="en-GB" w:eastAsia="en-GB"/>
              </w:rPr>
            </w:pPr>
            <w:hyperlink r:id="rId35" w:history="1">
              <w:r w:rsidR="00ED258D" w:rsidRPr="00ED258D">
                <w:rPr>
                  <w:rStyle w:val="Hyperlink"/>
                  <w:rFonts w:eastAsia="Times New Roman" w:cs="Times New Roman"/>
                  <w:color w:val="auto"/>
                  <w:sz w:val="20"/>
                  <w:szCs w:val="20"/>
                </w:rPr>
                <w:t>http://carfueldata.direct.gov.uk/search-new-or-used-cars.aspx</w:t>
              </w:r>
            </w:hyperlink>
            <w:r w:rsidR="00ED258D" w:rsidRPr="00ED258D">
              <w:rPr>
                <w:rFonts w:eastAsia="Times New Roman" w:cs="Times New Roman"/>
                <w:sz w:val="20"/>
                <w:szCs w:val="20"/>
              </w:rPr>
              <w:t xml:space="preserve"> </w:t>
            </w:r>
          </w:p>
        </w:tc>
        <w:tc>
          <w:tcPr>
            <w:tcW w:w="3372" w:type="dxa"/>
            <w:vAlign w:val="center"/>
          </w:tcPr>
          <w:p w:rsidR="00ED258D" w:rsidRPr="00ED258D" w:rsidRDefault="008F4755" w:rsidP="0075081B">
            <w:pPr>
              <w:cnfStyle w:val="000000100000" w:firstRow="0" w:lastRow="0" w:firstColumn="0" w:lastColumn="0" w:oddVBand="0" w:evenVBand="0" w:oddHBand="1" w:evenHBand="0" w:firstRowFirstColumn="0" w:firstRowLastColumn="0" w:lastRowFirstColumn="0" w:lastRowLastColumn="0"/>
              <w:rPr>
                <w:sz w:val="20"/>
                <w:szCs w:val="20"/>
                <w:lang w:val="en-GB" w:eastAsia="en-GB"/>
              </w:rPr>
            </w:pPr>
            <w:r>
              <w:rPr>
                <w:sz w:val="20"/>
                <w:szCs w:val="20"/>
                <w:lang w:val="en-GB" w:eastAsia="en-GB"/>
              </w:rPr>
              <w:t>Different from Bahraini vehicle types</w:t>
            </w:r>
          </w:p>
        </w:tc>
      </w:tr>
      <w:tr w:rsidR="0075081B" w:rsidRPr="00ED258D" w:rsidTr="0075081B">
        <w:trPr>
          <w:jc w:val="center"/>
        </w:trPr>
        <w:tc>
          <w:tcPr>
            <w:cnfStyle w:val="001000000000" w:firstRow="0" w:lastRow="0" w:firstColumn="1" w:lastColumn="0" w:oddVBand="0" w:evenVBand="0" w:oddHBand="0" w:evenHBand="0" w:firstRowFirstColumn="0" w:firstRowLastColumn="0" w:lastRowFirstColumn="0" w:lastRowLastColumn="0"/>
            <w:tcW w:w="939" w:type="dxa"/>
            <w:vAlign w:val="center"/>
          </w:tcPr>
          <w:p w:rsidR="00ED258D" w:rsidRPr="00ED258D" w:rsidRDefault="00ED258D" w:rsidP="001460DB">
            <w:pPr>
              <w:jc w:val="center"/>
              <w:rPr>
                <w:b w:val="0"/>
                <w:bCs w:val="0"/>
                <w:sz w:val="20"/>
                <w:szCs w:val="20"/>
                <w:lang w:val="en-GB" w:eastAsia="en-GB"/>
              </w:rPr>
            </w:pPr>
            <w:r w:rsidRPr="00ED258D">
              <w:rPr>
                <w:b w:val="0"/>
                <w:bCs w:val="0"/>
                <w:sz w:val="20"/>
                <w:szCs w:val="20"/>
                <w:lang w:val="en-GB" w:eastAsia="en-GB"/>
              </w:rPr>
              <w:t>France</w:t>
            </w:r>
          </w:p>
        </w:tc>
        <w:tc>
          <w:tcPr>
            <w:tcW w:w="5265" w:type="dxa"/>
            <w:vAlign w:val="center"/>
          </w:tcPr>
          <w:p w:rsidR="00ED258D" w:rsidRPr="003639EC" w:rsidRDefault="00ED258D" w:rsidP="00F36CA5">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fr-FR"/>
              </w:rPr>
            </w:pPr>
            <w:r w:rsidRPr="003639EC">
              <w:rPr>
                <w:rFonts w:eastAsia="Times New Roman" w:cs="Times New Roman"/>
                <w:sz w:val="20"/>
                <w:szCs w:val="20"/>
                <w:lang w:val="fr-FR"/>
              </w:rPr>
              <w:t>Consommationconventionnelles de carburant et émissions de gazcarbonique</w:t>
            </w:r>
          </w:p>
          <w:p w:rsidR="0075081B" w:rsidRPr="003639EC" w:rsidRDefault="00ED258D" w:rsidP="00F36CA5">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fr-FR"/>
              </w:rPr>
            </w:pPr>
            <w:r w:rsidRPr="003639EC">
              <w:rPr>
                <w:rFonts w:eastAsia="Times New Roman" w:cs="Times New Roman"/>
                <w:sz w:val="20"/>
                <w:szCs w:val="20"/>
                <w:lang w:val="fr-FR"/>
              </w:rPr>
              <w:t>www2.ademe.fr/servlet/getDoc?cid=96&amp;m=3&amp;id=52820&amp;p1</w:t>
            </w:r>
          </w:p>
          <w:p w:rsidR="00ED258D" w:rsidRPr="00ED258D" w:rsidRDefault="00ED258D" w:rsidP="00F36CA5">
            <w:pPr>
              <w:cnfStyle w:val="000000000000" w:firstRow="0" w:lastRow="0" w:firstColumn="0" w:lastColumn="0" w:oddVBand="0" w:evenVBand="0" w:oddHBand="0" w:evenHBand="0" w:firstRowFirstColumn="0" w:firstRowLastColumn="0" w:lastRowFirstColumn="0" w:lastRowLastColumn="0"/>
              <w:rPr>
                <w:sz w:val="20"/>
                <w:szCs w:val="20"/>
                <w:lang w:val="en-GB" w:eastAsia="en-GB"/>
              </w:rPr>
            </w:pPr>
            <w:r w:rsidRPr="00ED258D">
              <w:rPr>
                <w:rFonts w:eastAsia="Times New Roman" w:cs="Times New Roman"/>
                <w:sz w:val="20"/>
                <w:szCs w:val="20"/>
              </w:rPr>
              <w:t>=00&amp;p2=12&amp;ref=17597</w:t>
            </w:r>
            <w:r w:rsidR="0075081B">
              <w:rPr>
                <w:rFonts w:eastAsia="Times New Roman" w:cs="Times New Roman"/>
                <w:sz w:val="20"/>
                <w:szCs w:val="20"/>
              </w:rPr>
              <w:t xml:space="preserve"> </w:t>
            </w:r>
            <w:r w:rsidRPr="00ED258D">
              <w:rPr>
                <w:rFonts w:eastAsia="Times New Roman" w:cs="Times New Roman"/>
                <w:sz w:val="20"/>
                <w:szCs w:val="20"/>
              </w:rPr>
              <w:t xml:space="preserve"> </w:t>
            </w:r>
          </w:p>
        </w:tc>
        <w:tc>
          <w:tcPr>
            <w:tcW w:w="3372" w:type="dxa"/>
            <w:vAlign w:val="center"/>
          </w:tcPr>
          <w:p w:rsidR="00ED258D" w:rsidRPr="00ED258D" w:rsidRDefault="008F4755" w:rsidP="0075081B">
            <w:pPr>
              <w:cnfStyle w:val="000000000000" w:firstRow="0" w:lastRow="0" w:firstColumn="0" w:lastColumn="0" w:oddVBand="0" w:evenVBand="0" w:oddHBand="0" w:evenHBand="0" w:firstRowFirstColumn="0" w:firstRowLastColumn="0" w:lastRowFirstColumn="0" w:lastRowLastColumn="0"/>
              <w:rPr>
                <w:sz w:val="20"/>
                <w:szCs w:val="20"/>
                <w:lang w:val="en-GB" w:eastAsia="en-GB"/>
              </w:rPr>
            </w:pPr>
            <w:r>
              <w:rPr>
                <w:sz w:val="20"/>
                <w:szCs w:val="20"/>
                <w:lang w:val="en-GB" w:eastAsia="en-GB"/>
              </w:rPr>
              <w:t>Different from Bahraini vehicle types</w:t>
            </w:r>
          </w:p>
        </w:tc>
      </w:tr>
      <w:tr w:rsidR="0075081B" w:rsidRPr="00ED258D" w:rsidTr="007508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9" w:type="dxa"/>
            <w:vAlign w:val="center"/>
          </w:tcPr>
          <w:p w:rsidR="00ED258D" w:rsidRPr="00ED258D" w:rsidRDefault="00ED258D" w:rsidP="001460DB">
            <w:pPr>
              <w:jc w:val="center"/>
              <w:rPr>
                <w:b w:val="0"/>
                <w:bCs w:val="0"/>
                <w:sz w:val="20"/>
                <w:szCs w:val="20"/>
                <w:lang w:val="en-GB" w:eastAsia="en-GB"/>
              </w:rPr>
            </w:pPr>
            <w:r w:rsidRPr="00ED258D">
              <w:rPr>
                <w:b w:val="0"/>
                <w:bCs w:val="0"/>
                <w:sz w:val="20"/>
                <w:szCs w:val="20"/>
                <w:lang w:val="en-GB" w:eastAsia="en-GB"/>
              </w:rPr>
              <w:t>Australia</w:t>
            </w:r>
          </w:p>
        </w:tc>
        <w:tc>
          <w:tcPr>
            <w:tcW w:w="5265" w:type="dxa"/>
            <w:vAlign w:val="center"/>
          </w:tcPr>
          <w:p w:rsidR="00ED258D" w:rsidRPr="00ED258D" w:rsidRDefault="00ED258D" w:rsidP="00F36CA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258D">
              <w:rPr>
                <w:rFonts w:eastAsia="Times New Roman" w:cs="Times New Roman"/>
                <w:sz w:val="20"/>
                <w:szCs w:val="20"/>
              </w:rPr>
              <w:t>Green Vehicle Guide Factsheets</w:t>
            </w:r>
          </w:p>
          <w:p w:rsidR="00ED258D" w:rsidRPr="00ED258D" w:rsidRDefault="005B4134" w:rsidP="00F36CA5">
            <w:pPr>
              <w:cnfStyle w:val="000000100000" w:firstRow="0" w:lastRow="0" w:firstColumn="0" w:lastColumn="0" w:oddVBand="0" w:evenVBand="0" w:oddHBand="1" w:evenHBand="0" w:firstRowFirstColumn="0" w:firstRowLastColumn="0" w:lastRowFirstColumn="0" w:lastRowLastColumn="0"/>
              <w:rPr>
                <w:sz w:val="20"/>
                <w:szCs w:val="20"/>
                <w:lang w:val="en-GB" w:eastAsia="en-GB"/>
              </w:rPr>
            </w:pPr>
            <w:hyperlink r:id="rId36" w:history="1">
              <w:r w:rsidR="00ED258D" w:rsidRPr="00ED258D">
                <w:rPr>
                  <w:rStyle w:val="Hyperlink"/>
                  <w:rFonts w:eastAsia="Times New Roman" w:cs="Times New Roman"/>
                  <w:color w:val="auto"/>
                  <w:sz w:val="20"/>
                  <w:szCs w:val="20"/>
                </w:rPr>
                <w:t>www.greenvehicleguide.gov.au</w:t>
              </w:r>
            </w:hyperlink>
            <w:r w:rsidR="00ED258D" w:rsidRPr="00ED258D">
              <w:rPr>
                <w:rFonts w:eastAsia="Times New Roman" w:cs="Times New Roman"/>
                <w:sz w:val="20"/>
                <w:szCs w:val="20"/>
              </w:rPr>
              <w:t xml:space="preserve"> </w:t>
            </w:r>
          </w:p>
        </w:tc>
        <w:tc>
          <w:tcPr>
            <w:tcW w:w="3372" w:type="dxa"/>
            <w:vAlign w:val="center"/>
          </w:tcPr>
          <w:p w:rsidR="00ED258D" w:rsidRPr="00ED258D" w:rsidRDefault="00F11AA7" w:rsidP="0075081B">
            <w:pPr>
              <w:cnfStyle w:val="000000100000" w:firstRow="0" w:lastRow="0" w:firstColumn="0" w:lastColumn="0" w:oddVBand="0" w:evenVBand="0" w:oddHBand="1" w:evenHBand="0" w:firstRowFirstColumn="0" w:firstRowLastColumn="0" w:lastRowFirstColumn="0" w:lastRowLastColumn="0"/>
              <w:rPr>
                <w:sz w:val="20"/>
                <w:szCs w:val="20"/>
                <w:lang w:val="en-GB" w:eastAsia="en-GB"/>
              </w:rPr>
            </w:pPr>
            <w:r>
              <w:rPr>
                <w:sz w:val="20"/>
                <w:szCs w:val="20"/>
                <w:lang w:val="en-GB" w:eastAsia="en-GB"/>
              </w:rPr>
              <w:t>No assessment yet, sent an email to ask for database and they replied after submitting the report. Nevertheless, they mention data duplication which means more time is required for cleaning the data.</w:t>
            </w:r>
          </w:p>
        </w:tc>
      </w:tr>
      <w:tr w:rsidR="0075081B" w:rsidRPr="00ED258D" w:rsidTr="0075081B">
        <w:trPr>
          <w:jc w:val="center"/>
        </w:trPr>
        <w:tc>
          <w:tcPr>
            <w:cnfStyle w:val="001000000000" w:firstRow="0" w:lastRow="0" w:firstColumn="1" w:lastColumn="0" w:oddVBand="0" w:evenVBand="0" w:oddHBand="0" w:evenHBand="0" w:firstRowFirstColumn="0" w:firstRowLastColumn="0" w:lastRowFirstColumn="0" w:lastRowLastColumn="0"/>
            <w:tcW w:w="939" w:type="dxa"/>
            <w:vAlign w:val="center"/>
          </w:tcPr>
          <w:p w:rsidR="00ED258D" w:rsidRPr="00ED258D" w:rsidRDefault="00ED258D" w:rsidP="001460DB">
            <w:pPr>
              <w:jc w:val="center"/>
              <w:rPr>
                <w:b w:val="0"/>
                <w:bCs w:val="0"/>
                <w:sz w:val="20"/>
                <w:szCs w:val="20"/>
                <w:lang w:val="en-GB" w:eastAsia="en-GB"/>
              </w:rPr>
            </w:pPr>
            <w:r w:rsidRPr="00ED258D">
              <w:rPr>
                <w:b w:val="0"/>
                <w:bCs w:val="0"/>
                <w:sz w:val="20"/>
                <w:szCs w:val="20"/>
                <w:lang w:val="en-GB" w:eastAsia="en-GB"/>
              </w:rPr>
              <w:t>Japan</w:t>
            </w:r>
          </w:p>
        </w:tc>
        <w:tc>
          <w:tcPr>
            <w:tcW w:w="5265" w:type="dxa"/>
            <w:vAlign w:val="center"/>
          </w:tcPr>
          <w:p w:rsidR="00ED258D" w:rsidRPr="003639EC" w:rsidRDefault="00ED258D" w:rsidP="00F36CA5">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de-DE"/>
              </w:rPr>
            </w:pPr>
            <w:r w:rsidRPr="003639EC">
              <w:rPr>
                <w:rFonts w:eastAsia="Times New Roman" w:cs="Times New Roman"/>
                <w:sz w:val="20"/>
                <w:szCs w:val="20"/>
                <w:lang w:val="de-DE"/>
              </w:rPr>
              <w:t>JIDOSHA NENPI ICHIRAN (in Japanese)</w:t>
            </w:r>
          </w:p>
          <w:p w:rsidR="00ED258D" w:rsidRPr="003639EC" w:rsidRDefault="005B4134" w:rsidP="00F36CA5">
            <w:pPr>
              <w:cnfStyle w:val="000000000000" w:firstRow="0" w:lastRow="0" w:firstColumn="0" w:lastColumn="0" w:oddVBand="0" w:evenVBand="0" w:oddHBand="0" w:evenHBand="0" w:firstRowFirstColumn="0" w:firstRowLastColumn="0" w:lastRowFirstColumn="0" w:lastRowLastColumn="0"/>
              <w:rPr>
                <w:sz w:val="20"/>
                <w:szCs w:val="20"/>
                <w:lang w:val="de-DE" w:eastAsia="en-GB"/>
              </w:rPr>
            </w:pPr>
            <w:hyperlink r:id="rId37" w:history="1">
              <w:r w:rsidR="00ED258D" w:rsidRPr="003639EC">
                <w:rPr>
                  <w:rStyle w:val="Hyperlink"/>
                  <w:rFonts w:eastAsia="Times New Roman" w:cs="Times New Roman"/>
                  <w:color w:val="auto"/>
                  <w:sz w:val="20"/>
                  <w:szCs w:val="20"/>
                  <w:lang w:val="de-DE"/>
                </w:rPr>
                <w:t>www.mlit.go.jp/jidosha/jidosha_mn10_000001.html</w:t>
              </w:r>
            </w:hyperlink>
            <w:r w:rsidR="00ED258D" w:rsidRPr="003639EC">
              <w:rPr>
                <w:rFonts w:eastAsia="Times New Roman" w:cs="Times New Roman"/>
                <w:sz w:val="20"/>
                <w:szCs w:val="20"/>
                <w:lang w:val="de-DE"/>
              </w:rPr>
              <w:t xml:space="preserve"> </w:t>
            </w:r>
          </w:p>
        </w:tc>
        <w:tc>
          <w:tcPr>
            <w:tcW w:w="3372" w:type="dxa"/>
            <w:vAlign w:val="center"/>
          </w:tcPr>
          <w:p w:rsidR="00ED258D" w:rsidRPr="00ED258D" w:rsidRDefault="008F4755" w:rsidP="0075081B">
            <w:pPr>
              <w:cnfStyle w:val="000000000000" w:firstRow="0" w:lastRow="0" w:firstColumn="0" w:lastColumn="0" w:oddVBand="0" w:evenVBand="0" w:oddHBand="0" w:evenHBand="0" w:firstRowFirstColumn="0" w:firstRowLastColumn="0" w:lastRowFirstColumn="0" w:lastRowLastColumn="0"/>
              <w:rPr>
                <w:sz w:val="20"/>
                <w:szCs w:val="20"/>
                <w:lang w:val="en-GB" w:eastAsia="en-GB"/>
              </w:rPr>
            </w:pPr>
            <w:r>
              <w:rPr>
                <w:sz w:val="20"/>
                <w:szCs w:val="20"/>
                <w:lang w:val="en-GB" w:eastAsia="en-GB"/>
              </w:rPr>
              <w:t>Couldn’t use and couldn’t use Google Translate</w:t>
            </w:r>
          </w:p>
        </w:tc>
      </w:tr>
      <w:tr w:rsidR="0075081B" w:rsidRPr="00ED258D" w:rsidTr="007508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9" w:type="dxa"/>
            <w:vAlign w:val="center"/>
          </w:tcPr>
          <w:p w:rsidR="00ED258D" w:rsidRPr="00ED258D" w:rsidRDefault="00ED258D" w:rsidP="001460DB">
            <w:pPr>
              <w:jc w:val="center"/>
              <w:rPr>
                <w:b w:val="0"/>
                <w:bCs w:val="0"/>
                <w:sz w:val="20"/>
                <w:szCs w:val="20"/>
                <w:lang w:val="en-GB" w:eastAsia="en-GB"/>
              </w:rPr>
            </w:pPr>
            <w:r w:rsidRPr="00ED258D">
              <w:rPr>
                <w:b w:val="0"/>
                <w:bCs w:val="0"/>
                <w:sz w:val="20"/>
                <w:szCs w:val="20"/>
                <w:lang w:val="en-GB" w:eastAsia="en-GB"/>
              </w:rPr>
              <w:t>Mexico</w:t>
            </w:r>
          </w:p>
        </w:tc>
        <w:tc>
          <w:tcPr>
            <w:tcW w:w="5265" w:type="dxa"/>
            <w:vAlign w:val="center"/>
          </w:tcPr>
          <w:p w:rsidR="00ED258D" w:rsidRPr="003639EC" w:rsidRDefault="00ED258D" w:rsidP="00F36CA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ES"/>
              </w:rPr>
            </w:pPr>
            <w:r w:rsidRPr="003639EC">
              <w:rPr>
                <w:rFonts w:eastAsia="Times New Roman" w:cs="Times New Roman"/>
                <w:sz w:val="20"/>
                <w:szCs w:val="20"/>
                <w:lang w:val="es-ES"/>
              </w:rPr>
              <w:t>Indicadores de EficienciaEnergética y EmisionesVehiculares</w:t>
            </w:r>
          </w:p>
          <w:p w:rsidR="00ED258D" w:rsidRPr="003639EC" w:rsidRDefault="005B4134" w:rsidP="00F36CA5">
            <w:pPr>
              <w:cnfStyle w:val="000000100000" w:firstRow="0" w:lastRow="0" w:firstColumn="0" w:lastColumn="0" w:oddVBand="0" w:evenVBand="0" w:oddHBand="1" w:evenHBand="0" w:firstRowFirstColumn="0" w:firstRowLastColumn="0" w:lastRowFirstColumn="0" w:lastRowLastColumn="0"/>
              <w:rPr>
                <w:sz w:val="20"/>
                <w:szCs w:val="20"/>
                <w:lang w:val="es-ES" w:eastAsia="en-GB"/>
              </w:rPr>
            </w:pPr>
            <w:hyperlink r:id="rId38" w:history="1">
              <w:r w:rsidR="00ED258D" w:rsidRPr="003639EC">
                <w:rPr>
                  <w:rStyle w:val="Hyperlink"/>
                  <w:rFonts w:eastAsia="Times New Roman" w:cs="Times New Roman"/>
                  <w:color w:val="auto"/>
                  <w:sz w:val="20"/>
                  <w:szCs w:val="20"/>
                  <w:lang w:val="es-ES"/>
                </w:rPr>
                <w:t>www.ecovehiculos.gob.mx/</w:t>
              </w:r>
            </w:hyperlink>
            <w:r w:rsidR="00ED258D" w:rsidRPr="003639EC">
              <w:rPr>
                <w:rFonts w:eastAsia="Times New Roman" w:cs="Times New Roman"/>
                <w:sz w:val="20"/>
                <w:szCs w:val="20"/>
                <w:lang w:val="es-ES"/>
              </w:rPr>
              <w:t xml:space="preserve"> </w:t>
            </w:r>
          </w:p>
        </w:tc>
        <w:tc>
          <w:tcPr>
            <w:tcW w:w="3372" w:type="dxa"/>
            <w:vAlign w:val="center"/>
          </w:tcPr>
          <w:p w:rsidR="00ED258D" w:rsidRPr="00ED258D" w:rsidRDefault="008F4755" w:rsidP="0075081B">
            <w:pPr>
              <w:cnfStyle w:val="000000100000" w:firstRow="0" w:lastRow="0" w:firstColumn="0" w:lastColumn="0" w:oddVBand="0" w:evenVBand="0" w:oddHBand="1" w:evenHBand="0" w:firstRowFirstColumn="0" w:firstRowLastColumn="0" w:lastRowFirstColumn="0" w:lastRowLastColumn="0"/>
              <w:rPr>
                <w:sz w:val="20"/>
                <w:szCs w:val="20"/>
                <w:lang w:val="en-GB" w:eastAsia="en-GB"/>
              </w:rPr>
            </w:pPr>
            <w:r>
              <w:rPr>
                <w:sz w:val="20"/>
                <w:szCs w:val="20"/>
                <w:lang w:val="en-GB" w:eastAsia="en-GB"/>
              </w:rPr>
              <w:t>Couldn’t use and couldn’t use Google Translate</w:t>
            </w:r>
          </w:p>
        </w:tc>
      </w:tr>
      <w:tr w:rsidR="0075081B" w:rsidRPr="00ED258D" w:rsidTr="0075081B">
        <w:trPr>
          <w:jc w:val="center"/>
        </w:trPr>
        <w:tc>
          <w:tcPr>
            <w:cnfStyle w:val="001000000000" w:firstRow="0" w:lastRow="0" w:firstColumn="1" w:lastColumn="0" w:oddVBand="0" w:evenVBand="0" w:oddHBand="0" w:evenHBand="0" w:firstRowFirstColumn="0" w:firstRowLastColumn="0" w:lastRowFirstColumn="0" w:lastRowLastColumn="0"/>
            <w:tcW w:w="939" w:type="dxa"/>
            <w:vAlign w:val="center"/>
          </w:tcPr>
          <w:p w:rsidR="00ED258D" w:rsidRPr="00ED258D" w:rsidRDefault="00ED258D" w:rsidP="001460DB">
            <w:pPr>
              <w:jc w:val="center"/>
              <w:rPr>
                <w:b w:val="0"/>
                <w:bCs w:val="0"/>
                <w:sz w:val="20"/>
                <w:szCs w:val="20"/>
                <w:lang w:val="en-GB" w:eastAsia="en-GB"/>
              </w:rPr>
            </w:pPr>
            <w:r w:rsidRPr="00ED258D">
              <w:rPr>
                <w:b w:val="0"/>
                <w:bCs w:val="0"/>
                <w:sz w:val="20"/>
                <w:szCs w:val="20"/>
                <w:lang w:val="en-GB" w:eastAsia="en-GB"/>
              </w:rPr>
              <w:t>South Africa</w:t>
            </w:r>
          </w:p>
        </w:tc>
        <w:tc>
          <w:tcPr>
            <w:tcW w:w="5265" w:type="dxa"/>
            <w:vAlign w:val="center"/>
          </w:tcPr>
          <w:p w:rsidR="00ED258D" w:rsidRPr="00ED258D" w:rsidRDefault="00ED258D" w:rsidP="00F36CA5">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ED258D">
              <w:rPr>
                <w:rFonts w:eastAsia="Times New Roman" w:cs="Times New Roman"/>
                <w:sz w:val="20"/>
                <w:szCs w:val="20"/>
              </w:rPr>
              <w:t>National Association of Automobile Manufacturers of South Africa</w:t>
            </w:r>
          </w:p>
          <w:p w:rsidR="00ED258D" w:rsidRPr="00ED258D" w:rsidRDefault="005B4134" w:rsidP="00F36CA5">
            <w:pPr>
              <w:cnfStyle w:val="000000000000" w:firstRow="0" w:lastRow="0" w:firstColumn="0" w:lastColumn="0" w:oddVBand="0" w:evenVBand="0" w:oddHBand="0" w:evenHBand="0" w:firstRowFirstColumn="0" w:firstRowLastColumn="0" w:lastRowFirstColumn="0" w:lastRowLastColumn="0"/>
              <w:rPr>
                <w:sz w:val="20"/>
                <w:szCs w:val="20"/>
                <w:lang w:val="en-GB" w:eastAsia="en-GB"/>
              </w:rPr>
            </w:pPr>
            <w:hyperlink r:id="rId39" w:history="1">
              <w:r w:rsidR="00ED258D" w:rsidRPr="00ED258D">
                <w:rPr>
                  <w:rStyle w:val="Hyperlink"/>
                  <w:rFonts w:eastAsia="Times New Roman" w:cs="Times New Roman"/>
                  <w:color w:val="auto"/>
                  <w:sz w:val="20"/>
                  <w:szCs w:val="20"/>
                </w:rPr>
                <w:t>http://www.naamsa.co.za/ecelabels/</w:t>
              </w:r>
            </w:hyperlink>
            <w:r w:rsidR="00ED258D" w:rsidRPr="00ED258D">
              <w:rPr>
                <w:rFonts w:eastAsia="Times New Roman" w:cs="Times New Roman"/>
                <w:sz w:val="20"/>
                <w:szCs w:val="20"/>
              </w:rPr>
              <w:t xml:space="preserve"> </w:t>
            </w:r>
          </w:p>
        </w:tc>
        <w:tc>
          <w:tcPr>
            <w:tcW w:w="3372" w:type="dxa"/>
            <w:vAlign w:val="center"/>
          </w:tcPr>
          <w:p w:rsidR="00ED258D" w:rsidRPr="00ED258D" w:rsidRDefault="008F4755" w:rsidP="0075081B">
            <w:pPr>
              <w:cnfStyle w:val="000000000000" w:firstRow="0" w:lastRow="0" w:firstColumn="0" w:lastColumn="0" w:oddVBand="0" w:evenVBand="0" w:oddHBand="0" w:evenHBand="0" w:firstRowFirstColumn="0" w:firstRowLastColumn="0" w:lastRowFirstColumn="0" w:lastRowLastColumn="0"/>
              <w:rPr>
                <w:sz w:val="20"/>
                <w:szCs w:val="20"/>
                <w:lang w:val="en-GB" w:eastAsia="en-GB"/>
              </w:rPr>
            </w:pPr>
            <w:r>
              <w:rPr>
                <w:sz w:val="20"/>
                <w:szCs w:val="20"/>
                <w:lang w:val="en-GB" w:eastAsia="en-GB"/>
              </w:rPr>
              <w:t>Doesn’t show the year of manufacture and when contacted, they sent emission factors for BMW only.</w:t>
            </w:r>
          </w:p>
        </w:tc>
      </w:tr>
      <w:tr w:rsidR="0075081B" w:rsidRPr="00ED258D" w:rsidTr="007508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9" w:type="dxa"/>
            <w:vAlign w:val="center"/>
          </w:tcPr>
          <w:p w:rsidR="00ED258D" w:rsidRPr="00ED258D" w:rsidRDefault="00ED258D" w:rsidP="001460DB">
            <w:pPr>
              <w:jc w:val="center"/>
              <w:rPr>
                <w:b w:val="0"/>
                <w:bCs w:val="0"/>
                <w:sz w:val="20"/>
                <w:szCs w:val="20"/>
                <w:lang w:val="en-GB" w:eastAsia="en-GB"/>
              </w:rPr>
            </w:pPr>
            <w:r w:rsidRPr="00ED258D">
              <w:rPr>
                <w:b w:val="0"/>
                <w:bCs w:val="0"/>
                <w:sz w:val="20"/>
                <w:szCs w:val="20"/>
                <w:lang w:val="en-GB" w:eastAsia="en-GB"/>
              </w:rPr>
              <w:t>Swiss</w:t>
            </w:r>
          </w:p>
        </w:tc>
        <w:tc>
          <w:tcPr>
            <w:tcW w:w="5265" w:type="dxa"/>
            <w:vAlign w:val="center"/>
          </w:tcPr>
          <w:p w:rsidR="00ED258D" w:rsidRPr="00ED258D" w:rsidRDefault="00ED258D" w:rsidP="00F36CA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258D">
              <w:rPr>
                <w:rFonts w:eastAsia="Times New Roman" w:cs="Times New Roman"/>
                <w:sz w:val="20"/>
                <w:szCs w:val="20"/>
              </w:rPr>
              <w:t>Automobil Revue catalogue (not official this one, but good compilation of worldwide vehicle production</w:t>
            </w:r>
          </w:p>
          <w:p w:rsidR="00ED258D" w:rsidRPr="00ED258D" w:rsidRDefault="005B4134" w:rsidP="00F36CA5">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hyperlink r:id="rId40" w:history="1">
              <w:r w:rsidR="00ED258D" w:rsidRPr="00ED258D">
                <w:rPr>
                  <w:rStyle w:val="Hyperlink"/>
                  <w:rFonts w:eastAsia="Times New Roman" w:cs="Times New Roman"/>
                  <w:color w:val="auto"/>
                  <w:sz w:val="20"/>
                  <w:szCs w:val="20"/>
                </w:rPr>
                <w:t>www.katalog.automobilrevue.ch/</w:t>
              </w:r>
            </w:hyperlink>
            <w:r w:rsidR="00ED258D" w:rsidRPr="00ED258D">
              <w:rPr>
                <w:rFonts w:eastAsia="Times New Roman" w:cs="Times New Roman"/>
                <w:sz w:val="20"/>
                <w:szCs w:val="20"/>
              </w:rPr>
              <w:t xml:space="preserve"> </w:t>
            </w:r>
          </w:p>
        </w:tc>
        <w:tc>
          <w:tcPr>
            <w:tcW w:w="3372" w:type="dxa"/>
            <w:vAlign w:val="center"/>
          </w:tcPr>
          <w:p w:rsidR="00ED258D" w:rsidRPr="00ED258D" w:rsidRDefault="008F4755" w:rsidP="0075081B">
            <w:pPr>
              <w:cnfStyle w:val="000000100000" w:firstRow="0" w:lastRow="0" w:firstColumn="0" w:lastColumn="0" w:oddVBand="0" w:evenVBand="0" w:oddHBand="1" w:evenHBand="0" w:firstRowFirstColumn="0" w:firstRowLastColumn="0" w:lastRowFirstColumn="0" w:lastRowLastColumn="0"/>
              <w:rPr>
                <w:sz w:val="20"/>
                <w:szCs w:val="20"/>
                <w:lang w:val="en-GB" w:eastAsia="en-GB"/>
              </w:rPr>
            </w:pPr>
            <w:r>
              <w:rPr>
                <w:sz w:val="20"/>
                <w:szCs w:val="20"/>
                <w:lang w:val="en-GB" w:eastAsia="en-GB"/>
              </w:rPr>
              <w:t>Different from Bahraini vehicle types</w:t>
            </w:r>
          </w:p>
        </w:tc>
      </w:tr>
      <w:tr w:rsidR="0075081B" w:rsidRPr="00ED258D" w:rsidTr="0075081B">
        <w:trPr>
          <w:jc w:val="center"/>
        </w:trPr>
        <w:tc>
          <w:tcPr>
            <w:cnfStyle w:val="001000000000" w:firstRow="0" w:lastRow="0" w:firstColumn="1" w:lastColumn="0" w:oddVBand="0" w:evenVBand="0" w:oddHBand="0" w:evenHBand="0" w:firstRowFirstColumn="0" w:firstRowLastColumn="0" w:lastRowFirstColumn="0" w:lastRowLastColumn="0"/>
            <w:tcW w:w="939" w:type="dxa"/>
          </w:tcPr>
          <w:p w:rsidR="00ED258D" w:rsidRPr="00ED258D" w:rsidRDefault="00ED258D" w:rsidP="00D10CCC">
            <w:pPr>
              <w:rPr>
                <w:sz w:val="20"/>
                <w:szCs w:val="20"/>
                <w:lang w:val="en-GB" w:eastAsia="en-GB"/>
              </w:rPr>
            </w:pPr>
          </w:p>
        </w:tc>
        <w:tc>
          <w:tcPr>
            <w:tcW w:w="5265" w:type="dxa"/>
            <w:vAlign w:val="center"/>
          </w:tcPr>
          <w:p w:rsidR="00ED258D" w:rsidRPr="00ED258D" w:rsidRDefault="00BF63B0" w:rsidP="0028790B">
            <w:pPr>
              <w:cnfStyle w:val="000000000000" w:firstRow="0" w:lastRow="0" w:firstColumn="0" w:lastColumn="0" w:oddVBand="0" w:evenVBand="0" w:oddHBand="0" w:evenHBand="0" w:firstRowFirstColumn="0" w:firstRowLastColumn="0" w:lastRowFirstColumn="0" w:lastRowLastColumn="0"/>
              <w:rPr>
                <w:sz w:val="20"/>
                <w:szCs w:val="20"/>
                <w:lang w:val="en-GB" w:eastAsia="en-GB"/>
              </w:rPr>
            </w:pPr>
            <w:r>
              <w:rPr>
                <w:sz w:val="20"/>
                <w:szCs w:val="20"/>
                <w:lang w:val="en-GB" w:eastAsia="en-GB"/>
              </w:rPr>
              <w:t>Major car manufacturers</w:t>
            </w:r>
          </w:p>
        </w:tc>
        <w:tc>
          <w:tcPr>
            <w:tcW w:w="3372" w:type="dxa"/>
            <w:vAlign w:val="center"/>
          </w:tcPr>
          <w:p w:rsidR="00ED258D" w:rsidRPr="00ED258D" w:rsidRDefault="007B7C8A" w:rsidP="0075081B">
            <w:pPr>
              <w:cnfStyle w:val="000000000000" w:firstRow="0" w:lastRow="0" w:firstColumn="0" w:lastColumn="0" w:oddVBand="0" w:evenVBand="0" w:oddHBand="0" w:evenHBand="0" w:firstRowFirstColumn="0" w:firstRowLastColumn="0" w:lastRowFirstColumn="0" w:lastRowLastColumn="0"/>
              <w:rPr>
                <w:sz w:val="20"/>
                <w:szCs w:val="20"/>
                <w:lang w:val="en-GB" w:eastAsia="en-GB"/>
              </w:rPr>
            </w:pPr>
            <w:r>
              <w:rPr>
                <w:sz w:val="20"/>
                <w:szCs w:val="20"/>
                <w:lang w:val="en-GB" w:eastAsia="en-GB"/>
              </w:rPr>
              <w:t>Data for 2013 models only were received</w:t>
            </w:r>
          </w:p>
        </w:tc>
      </w:tr>
      <w:tr w:rsidR="0075081B" w:rsidRPr="00ED258D" w:rsidTr="007508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9" w:type="dxa"/>
          </w:tcPr>
          <w:p w:rsidR="00ED258D" w:rsidRPr="00ED258D" w:rsidRDefault="00ED258D" w:rsidP="00D10CCC">
            <w:pPr>
              <w:rPr>
                <w:sz w:val="20"/>
                <w:szCs w:val="20"/>
                <w:lang w:val="en-GB" w:eastAsia="en-GB"/>
              </w:rPr>
            </w:pPr>
          </w:p>
        </w:tc>
        <w:tc>
          <w:tcPr>
            <w:tcW w:w="5265" w:type="dxa"/>
          </w:tcPr>
          <w:p w:rsidR="002219AE" w:rsidRPr="00B3153D" w:rsidRDefault="002219AE" w:rsidP="00D10CCC">
            <w:pPr>
              <w:cnfStyle w:val="000000100000" w:firstRow="0" w:lastRow="0" w:firstColumn="0" w:lastColumn="0" w:oddVBand="0" w:evenVBand="0" w:oddHBand="1" w:evenHBand="0" w:firstRowFirstColumn="0" w:firstRowLastColumn="0" w:lastRowFirstColumn="0" w:lastRowLastColumn="0"/>
              <w:rPr>
                <w:sz w:val="20"/>
                <w:szCs w:val="20"/>
              </w:rPr>
            </w:pPr>
            <w:r w:rsidRPr="002219AE">
              <w:rPr>
                <w:sz w:val="20"/>
                <w:szCs w:val="20"/>
              </w:rPr>
              <w:t xml:space="preserve">The Next </w:t>
            </w:r>
            <w:r w:rsidRPr="00B3153D">
              <w:rPr>
                <w:sz w:val="20"/>
                <w:szCs w:val="20"/>
              </w:rPr>
              <w:t xml:space="preserve">Green Car </w:t>
            </w:r>
            <w:hyperlink r:id="rId41" w:history="1">
              <w:r w:rsidRPr="00B3153D">
                <w:rPr>
                  <w:rStyle w:val="Hyperlink"/>
                  <w:color w:val="auto"/>
                  <w:sz w:val="20"/>
                  <w:szCs w:val="20"/>
                </w:rPr>
                <w:t>http://www.nextgreencar.com/</w:t>
              </w:r>
            </w:hyperlink>
          </w:p>
          <w:p w:rsidR="002219AE" w:rsidRPr="00B3153D" w:rsidRDefault="002219AE" w:rsidP="00D10CCC">
            <w:pPr>
              <w:cnfStyle w:val="000000100000" w:firstRow="0" w:lastRow="0" w:firstColumn="0" w:lastColumn="0" w:oddVBand="0" w:evenVBand="0" w:oddHBand="1" w:evenHBand="0" w:firstRowFirstColumn="0" w:firstRowLastColumn="0" w:lastRowFirstColumn="0" w:lastRowLastColumn="0"/>
              <w:rPr>
                <w:sz w:val="20"/>
                <w:szCs w:val="20"/>
              </w:rPr>
            </w:pPr>
            <w:r w:rsidRPr="00B3153D">
              <w:rPr>
                <w:sz w:val="20"/>
                <w:szCs w:val="20"/>
              </w:rPr>
              <w:t xml:space="preserve">Car Emissions </w:t>
            </w:r>
            <w:hyperlink r:id="rId42" w:history="1">
              <w:r w:rsidRPr="00B3153D">
                <w:rPr>
                  <w:rStyle w:val="Hyperlink"/>
                  <w:color w:val="auto"/>
                  <w:sz w:val="20"/>
                  <w:szCs w:val="20"/>
                </w:rPr>
                <w:t>http://www.car-emissions.com/</w:t>
              </w:r>
            </w:hyperlink>
            <w:r w:rsidRPr="00B3153D">
              <w:rPr>
                <w:sz w:val="20"/>
                <w:szCs w:val="20"/>
              </w:rPr>
              <w:t xml:space="preserve"> </w:t>
            </w:r>
          </w:p>
          <w:p w:rsidR="00ED258D" w:rsidRPr="002219AE" w:rsidRDefault="002219AE" w:rsidP="0075081B">
            <w:pPr>
              <w:cnfStyle w:val="000000100000" w:firstRow="0" w:lastRow="0" w:firstColumn="0" w:lastColumn="0" w:oddVBand="0" w:evenVBand="0" w:oddHBand="1" w:evenHBand="0" w:firstRowFirstColumn="0" w:firstRowLastColumn="0" w:lastRowFirstColumn="0" w:lastRowLastColumn="0"/>
              <w:rPr>
                <w:sz w:val="20"/>
                <w:szCs w:val="20"/>
                <w:lang w:val="en-GB" w:eastAsia="en-GB"/>
              </w:rPr>
            </w:pPr>
            <w:r w:rsidRPr="00B3153D">
              <w:rPr>
                <w:sz w:val="20"/>
                <w:szCs w:val="20"/>
              </w:rPr>
              <w:t>CO</w:t>
            </w:r>
            <w:r w:rsidRPr="00B3153D">
              <w:rPr>
                <w:sz w:val="20"/>
                <w:szCs w:val="20"/>
                <w:vertAlign w:val="subscript"/>
              </w:rPr>
              <w:t>2</w:t>
            </w:r>
            <w:r w:rsidRPr="00B3153D">
              <w:rPr>
                <w:sz w:val="20"/>
                <w:szCs w:val="20"/>
              </w:rPr>
              <w:t xml:space="preserve"> Emissions Calculator </w:t>
            </w:r>
            <w:hyperlink r:id="rId43" w:history="1">
              <w:r w:rsidR="0075081B" w:rsidRPr="00B3153D">
                <w:rPr>
                  <w:rStyle w:val="Hyperlink"/>
                  <w:color w:val="auto"/>
                  <w:sz w:val="20"/>
                  <w:szCs w:val="20"/>
                </w:rPr>
                <w:t>http://www.falconsolution.com/co2-emission/index.php?Year=0&amp;Make=ACURA&amp;Model=0&amp;Distance=100&amp;DrivenCase=2</w:t>
              </w:r>
            </w:hyperlink>
            <w:r w:rsidR="0075081B">
              <w:rPr>
                <w:sz w:val="20"/>
                <w:szCs w:val="20"/>
              </w:rPr>
              <w:t xml:space="preserve"> </w:t>
            </w:r>
          </w:p>
        </w:tc>
        <w:tc>
          <w:tcPr>
            <w:tcW w:w="3372" w:type="dxa"/>
            <w:vAlign w:val="center"/>
          </w:tcPr>
          <w:p w:rsidR="00ED258D" w:rsidRPr="00ED258D" w:rsidRDefault="002219AE" w:rsidP="0075081B">
            <w:pPr>
              <w:cnfStyle w:val="000000100000" w:firstRow="0" w:lastRow="0" w:firstColumn="0" w:lastColumn="0" w:oddVBand="0" w:evenVBand="0" w:oddHBand="1" w:evenHBand="0" w:firstRowFirstColumn="0" w:firstRowLastColumn="0" w:lastRowFirstColumn="0" w:lastRowLastColumn="0"/>
              <w:rPr>
                <w:sz w:val="20"/>
                <w:szCs w:val="20"/>
                <w:lang w:val="en-GB" w:eastAsia="en-GB"/>
              </w:rPr>
            </w:pPr>
            <w:r>
              <w:rPr>
                <w:sz w:val="20"/>
                <w:szCs w:val="20"/>
                <w:lang w:val="en-GB" w:eastAsia="en-GB"/>
              </w:rPr>
              <w:t>Couldn’t use because of data reliability concerns</w:t>
            </w:r>
          </w:p>
        </w:tc>
      </w:tr>
    </w:tbl>
    <w:p w:rsidR="007A5995" w:rsidRDefault="007A5995" w:rsidP="007A5995">
      <w:pPr>
        <w:pStyle w:val="ListParagraph"/>
        <w:spacing w:after="0" w:line="240" w:lineRule="auto"/>
        <w:jc w:val="both"/>
        <w:rPr>
          <w:sz w:val="24"/>
          <w:szCs w:val="24"/>
          <w:lang w:val="en-GB"/>
        </w:rPr>
      </w:pPr>
    </w:p>
    <w:p w:rsidR="001F1846" w:rsidRPr="001F1846" w:rsidRDefault="001F1846" w:rsidP="001F1846">
      <w:pPr>
        <w:pStyle w:val="Heading2"/>
        <w:numPr>
          <w:ilvl w:val="1"/>
          <w:numId w:val="15"/>
        </w:numPr>
        <w:spacing w:after="0"/>
        <w:jc w:val="both"/>
        <w:rPr>
          <w:sz w:val="24"/>
          <w:szCs w:val="24"/>
        </w:rPr>
      </w:pPr>
      <w:bookmarkStart w:id="37" w:name="_Toc377544405"/>
      <w:r>
        <w:rPr>
          <w:sz w:val="24"/>
          <w:szCs w:val="24"/>
        </w:rPr>
        <w:t>Estimate baseline fuel economy and CO</w:t>
      </w:r>
      <w:r w:rsidRPr="001F1846">
        <w:rPr>
          <w:sz w:val="24"/>
          <w:szCs w:val="24"/>
          <w:vertAlign w:val="subscript"/>
        </w:rPr>
        <w:t>2</w:t>
      </w:r>
      <w:r>
        <w:rPr>
          <w:sz w:val="24"/>
          <w:szCs w:val="24"/>
        </w:rPr>
        <w:t xml:space="preserve"> emissions</w:t>
      </w:r>
      <w:bookmarkEnd w:id="37"/>
    </w:p>
    <w:p w:rsidR="003936C3" w:rsidRPr="001310CB" w:rsidRDefault="00E7339E" w:rsidP="00A562B4">
      <w:pPr>
        <w:pStyle w:val="ListParagraph"/>
        <w:numPr>
          <w:ilvl w:val="0"/>
          <w:numId w:val="12"/>
        </w:numPr>
        <w:spacing w:after="0" w:line="240" w:lineRule="auto"/>
        <w:jc w:val="both"/>
        <w:rPr>
          <w:sz w:val="24"/>
          <w:szCs w:val="24"/>
          <w:lang w:val="en-GB"/>
        </w:rPr>
      </w:pPr>
      <w:r>
        <w:rPr>
          <w:sz w:val="24"/>
          <w:szCs w:val="24"/>
          <w:lang w:val="en-GB"/>
        </w:rPr>
        <w:t>Vehicles d</w:t>
      </w:r>
      <w:r w:rsidR="003936C3">
        <w:rPr>
          <w:sz w:val="24"/>
          <w:szCs w:val="24"/>
          <w:lang w:val="en-GB"/>
        </w:rPr>
        <w:t>ata obtained for the fuel economy and CO</w:t>
      </w:r>
      <w:r w:rsidR="003936C3" w:rsidRPr="00FA0A9D">
        <w:rPr>
          <w:sz w:val="24"/>
          <w:szCs w:val="24"/>
          <w:vertAlign w:val="subscript"/>
          <w:lang w:val="en-GB"/>
        </w:rPr>
        <w:t>2</w:t>
      </w:r>
      <w:r w:rsidR="003936C3">
        <w:rPr>
          <w:sz w:val="24"/>
          <w:szCs w:val="24"/>
          <w:lang w:val="en-GB"/>
        </w:rPr>
        <w:t xml:space="preserve"> emissions</w:t>
      </w:r>
      <w:r w:rsidR="004C2BA3">
        <w:rPr>
          <w:sz w:val="24"/>
          <w:szCs w:val="24"/>
          <w:lang w:val="en-GB"/>
        </w:rPr>
        <w:t xml:space="preserve"> (called here reference data)</w:t>
      </w:r>
      <w:r w:rsidR="003936C3">
        <w:rPr>
          <w:sz w:val="24"/>
          <w:szCs w:val="24"/>
          <w:lang w:val="en-GB"/>
        </w:rPr>
        <w:t xml:space="preserve"> are coded based on the vehicle model codes used </w:t>
      </w:r>
      <w:r w:rsidR="008F3B1D">
        <w:rPr>
          <w:sz w:val="24"/>
          <w:szCs w:val="24"/>
          <w:lang w:val="en-GB"/>
        </w:rPr>
        <w:t xml:space="preserve">in </w:t>
      </w:r>
      <w:r w:rsidR="008F3B1D" w:rsidRPr="001310CB">
        <w:rPr>
          <w:sz w:val="24"/>
          <w:szCs w:val="24"/>
          <w:lang w:val="en-GB"/>
        </w:rPr>
        <w:t>the Bahraini registration system</w:t>
      </w:r>
      <w:r w:rsidR="003936C3" w:rsidRPr="001310CB">
        <w:rPr>
          <w:sz w:val="24"/>
          <w:szCs w:val="24"/>
          <w:lang w:val="en-GB"/>
        </w:rPr>
        <w:t>.</w:t>
      </w:r>
      <w:r w:rsidR="003936C3">
        <w:rPr>
          <w:sz w:val="24"/>
          <w:szCs w:val="24"/>
          <w:lang w:val="en-GB"/>
        </w:rPr>
        <w:t xml:space="preserve"> </w:t>
      </w:r>
      <w:r w:rsidR="003936C3" w:rsidRPr="001310CB">
        <w:rPr>
          <w:sz w:val="24"/>
          <w:szCs w:val="24"/>
          <w:lang w:val="en-GB"/>
        </w:rPr>
        <w:t xml:space="preserve"> </w:t>
      </w:r>
      <w:r w:rsidR="00A562B4">
        <w:rPr>
          <w:sz w:val="24"/>
          <w:szCs w:val="24"/>
          <w:lang w:val="en-GB"/>
        </w:rPr>
        <w:t>With regard to the fuel economy data, t</w:t>
      </w:r>
      <w:r w:rsidR="00A562B4" w:rsidRPr="002D3985">
        <w:rPr>
          <w:sz w:val="24"/>
          <w:szCs w:val="24"/>
          <w:lang w:val="en-GB"/>
        </w:rPr>
        <w:t xml:space="preserve">he reference </w:t>
      </w:r>
      <w:r w:rsidR="00A562B4">
        <w:rPr>
          <w:sz w:val="24"/>
          <w:szCs w:val="24"/>
          <w:lang w:val="en-GB"/>
        </w:rPr>
        <w:t>data</w:t>
      </w:r>
      <w:r w:rsidR="00A562B4" w:rsidRPr="002D3985">
        <w:rPr>
          <w:sz w:val="24"/>
          <w:szCs w:val="24"/>
          <w:lang w:val="en-GB"/>
        </w:rPr>
        <w:t xml:space="preserve"> includes city MPG, highway MPG, and combined MPG. The last one is used for the calculations</w:t>
      </w:r>
    </w:p>
    <w:p w:rsidR="0055468C" w:rsidRPr="0055468C" w:rsidRDefault="00820C80" w:rsidP="0055468C">
      <w:pPr>
        <w:pStyle w:val="ListParagraph"/>
        <w:numPr>
          <w:ilvl w:val="0"/>
          <w:numId w:val="12"/>
        </w:numPr>
        <w:spacing w:after="0" w:line="240" w:lineRule="auto"/>
        <w:jc w:val="both"/>
        <w:rPr>
          <w:sz w:val="24"/>
          <w:szCs w:val="24"/>
          <w:lang w:val="en-GB"/>
        </w:rPr>
      </w:pPr>
      <w:r w:rsidRPr="00820B56">
        <w:rPr>
          <w:rFonts w:cs="Times New Roman"/>
          <w:sz w:val="24"/>
          <w:szCs w:val="24"/>
        </w:rPr>
        <w:t xml:space="preserve">Four main elements of the </w:t>
      </w:r>
      <w:r>
        <w:rPr>
          <w:rFonts w:cs="Times New Roman"/>
          <w:sz w:val="24"/>
          <w:szCs w:val="24"/>
        </w:rPr>
        <w:t xml:space="preserve">Bahraini LDVs </w:t>
      </w:r>
      <w:r w:rsidRPr="00820B56">
        <w:rPr>
          <w:rFonts w:cs="Times New Roman"/>
          <w:sz w:val="24"/>
          <w:szCs w:val="24"/>
        </w:rPr>
        <w:t>data set are utilized to obtain fuel economy and CO</w:t>
      </w:r>
      <w:r w:rsidRPr="00820B56">
        <w:rPr>
          <w:rFonts w:cs="Times New Roman"/>
          <w:sz w:val="24"/>
          <w:szCs w:val="24"/>
          <w:vertAlign w:val="subscript"/>
        </w:rPr>
        <w:t>2</w:t>
      </w:r>
      <w:r w:rsidRPr="00820B56">
        <w:rPr>
          <w:rFonts w:cs="Times New Roman"/>
          <w:sz w:val="24"/>
          <w:szCs w:val="24"/>
        </w:rPr>
        <w:t xml:space="preserve"> emissions for new LDVs, namely the vehicle make, model, year of manufacture, and the engine size. </w:t>
      </w:r>
    </w:p>
    <w:p w:rsidR="004C2BA3" w:rsidRPr="002916FA" w:rsidRDefault="004C2BA3" w:rsidP="002916FA">
      <w:pPr>
        <w:pStyle w:val="ListParagraph"/>
        <w:numPr>
          <w:ilvl w:val="0"/>
          <w:numId w:val="12"/>
        </w:numPr>
        <w:spacing w:after="0" w:line="240" w:lineRule="auto"/>
        <w:jc w:val="both"/>
        <w:rPr>
          <w:sz w:val="24"/>
          <w:szCs w:val="24"/>
          <w:lang w:val="en-GB"/>
        </w:rPr>
      </w:pPr>
      <w:r w:rsidRPr="001F76C3">
        <w:rPr>
          <w:rFonts w:cs="Times New Roman"/>
          <w:sz w:val="24"/>
          <w:szCs w:val="24"/>
        </w:rPr>
        <w:t>The percentage of Bahraini vehicles that match speci</w:t>
      </w:r>
      <w:r w:rsidR="0054071E">
        <w:rPr>
          <w:rFonts w:cs="Times New Roman"/>
          <w:sz w:val="24"/>
          <w:szCs w:val="24"/>
        </w:rPr>
        <w:t>fications of reference data</w:t>
      </w:r>
      <w:r w:rsidRPr="001F76C3">
        <w:rPr>
          <w:rFonts w:cs="Times New Roman"/>
          <w:sz w:val="24"/>
          <w:szCs w:val="24"/>
        </w:rPr>
        <w:t xml:space="preserve"> has exceeded 50 % (</w:t>
      </w:r>
      <w:r w:rsidR="00784E68">
        <w:fldChar w:fldCharType="begin"/>
      </w:r>
      <w:r w:rsidR="00784E68">
        <w:instrText xml:space="preserve"> REF _Ref377542610 \h  \* MERGEFORMAT </w:instrText>
      </w:r>
      <w:r w:rsidR="00784E68">
        <w:fldChar w:fldCharType="separate"/>
      </w:r>
      <w:r w:rsidR="002916FA" w:rsidRPr="002916FA">
        <w:rPr>
          <w:sz w:val="24"/>
          <w:szCs w:val="24"/>
        </w:rPr>
        <w:t>Table 3</w:t>
      </w:r>
      <w:r w:rsidR="00784E68">
        <w:fldChar w:fldCharType="end"/>
      </w:r>
      <w:r w:rsidRPr="001F76C3">
        <w:rPr>
          <w:rFonts w:cs="Times New Roman"/>
          <w:sz w:val="24"/>
          <w:szCs w:val="24"/>
        </w:rPr>
        <w:t xml:space="preserve">). </w:t>
      </w:r>
      <w:r w:rsidR="001F76C3" w:rsidRPr="001F76C3">
        <w:rPr>
          <w:rFonts w:cs="Times New Roman"/>
          <w:sz w:val="24"/>
          <w:szCs w:val="24"/>
        </w:rPr>
        <w:t xml:space="preserve">However, some of the data are removed in order to </w:t>
      </w:r>
      <w:r w:rsidR="001F76C3" w:rsidRPr="001F76C3">
        <w:rPr>
          <w:sz w:val="24"/>
          <w:szCs w:val="24"/>
        </w:rPr>
        <w:t>represent all categories. The removal</w:t>
      </w:r>
      <w:r w:rsidR="0029605D">
        <w:rPr>
          <w:sz w:val="24"/>
          <w:szCs w:val="24"/>
        </w:rPr>
        <w:t xml:space="preserve"> process</w:t>
      </w:r>
      <w:r w:rsidR="001F76C3" w:rsidRPr="001F76C3">
        <w:rPr>
          <w:sz w:val="24"/>
          <w:szCs w:val="24"/>
        </w:rPr>
        <w:t xml:space="preserve"> is based on the engine capacity to allow a </w:t>
      </w:r>
      <w:r w:rsidR="001F76C3" w:rsidRPr="002916FA">
        <w:rPr>
          <w:sz w:val="24"/>
          <w:szCs w:val="24"/>
        </w:rPr>
        <w:t xml:space="preserve">satisfactory weight distribution of the sample </w:t>
      </w:r>
      <w:r w:rsidR="002D2BD3" w:rsidRPr="002916FA">
        <w:rPr>
          <w:sz w:val="24"/>
          <w:szCs w:val="24"/>
        </w:rPr>
        <w:t>and to</w:t>
      </w:r>
      <w:r w:rsidR="001F76C3" w:rsidRPr="002916FA">
        <w:rPr>
          <w:sz w:val="24"/>
          <w:szCs w:val="24"/>
        </w:rPr>
        <w:t xml:space="preserve"> well represent the entire population</w:t>
      </w:r>
      <w:r w:rsidR="002916FA" w:rsidRPr="002916FA">
        <w:rPr>
          <w:sz w:val="24"/>
          <w:szCs w:val="24"/>
        </w:rPr>
        <w:t xml:space="preserve"> (</w:t>
      </w:r>
      <w:r w:rsidR="00784E68">
        <w:fldChar w:fldCharType="begin"/>
      </w:r>
      <w:r w:rsidR="00784E68">
        <w:instrText xml:space="preserve"> REF _Ref377542610 \h  \* MERGEFORMAT </w:instrText>
      </w:r>
      <w:r w:rsidR="00784E68">
        <w:fldChar w:fldCharType="separate"/>
      </w:r>
      <w:r w:rsidR="002916FA" w:rsidRPr="002916FA">
        <w:rPr>
          <w:sz w:val="24"/>
          <w:szCs w:val="24"/>
        </w:rPr>
        <w:t>Table 3</w:t>
      </w:r>
      <w:r w:rsidR="00784E68">
        <w:fldChar w:fldCharType="end"/>
      </w:r>
      <w:r w:rsidR="002916FA" w:rsidRPr="002916FA">
        <w:rPr>
          <w:sz w:val="24"/>
          <w:szCs w:val="24"/>
        </w:rPr>
        <w:t>).</w:t>
      </w:r>
    </w:p>
    <w:p w:rsidR="004C2BA3" w:rsidRPr="0055468C" w:rsidRDefault="004C2BA3" w:rsidP="004C2BA3">
      <w:pPr>
        <w:pStyle w:val="ListParagraph"/>
        <w:spacing w:after="0" w:line="240" w:lineRule="auto"/>
        <w:jc w:val="both"/>
        <w:rPr>
          <w:sz w:val="24"/>
          <w:szCs w:val="24"/>
          <w:lang w:val="en-GB"/>
        </w:rPr>
      </w:pPr>
    </w:p>
    <w:p w:rsidR="004C2BA3" w:rsidRPr="00945D18" w:rsidRDefault="004C2BA3" w:rsidP="004C2BA3">
      <w:pPr>
        <w:pStyle w:val="Caption"/>
        <w:keepNext/>
        <w:spacing w:after="0"/>
        <w:ind w:left="720"/>
        <w:jc w:val="center"/>
        <w:rPr>
          <w:color w:val="auto"/>
          <w:sz w:val="20"/>
          <w:szCs w:val="20"/>
        </w:rPr>
      </w:pPr>
      <w:bookmarkStart w:id="38" w:name="_Ref377542610"/>
      <w:bookmarkStart w:id="39" w:name="_Toc377544428"/>
      <w:r w:rsidRPr="00945D18">
        <w:rPr>
          <w:color w:val="auto"/>
          <w:sz w:val="20"/>
          <w:szCs w:val="20"/>
        </w:rPr>
        <w:t xml:space="preserve">Table </w:t>
      </w:r>
      <w:r w:rsidR="00EF653E" w:rsidRPr="00945D18">
        <w:rPr>
          <w:color w:val="auto"/>
          <w:sz w:val="20"/>
          <w:szCs w:val="20"/>
        </w:rPr>
        <w:fldChar w:fldCharType="begin"/>
      </w:r>
      <w:r w:rsidRPr="00945D18">
        <w:rPr>
          <w:color w:val="auto"/>
          <w:sz w:val="20"/>
          <w:szCs w:val="20"/>
        </w:rPr>
        <w:instrText xml:space="preserve"> SEQ Table \* ARABIC </w:instrText>
      </w:r>
      <w:r w:rsidR="00EF653E" w:rsidRPr="00945D18">
        <w:rPr>
          <w:color w:val="auto"/>
          <w:sz w:val="20"/>
          <w:szCs w:val="20"/>
        </w:rPr>
        <w:fldChar w:fldCharType="separate"/>
      </w:r>
      <w:r>
        <w:rPr>
          <w:noProof/>
          <w:color w:val="auto"/>
          <w:sz w:val="20"/>
          <w:szCs w:val="20"/>
        </w:rPr>
        <w:t>3</w:t>
      </w:r>
      <w:r w:rsidR="00EF653E" w:rsidRPr="00945D18">
        <w:rPr>
          <w:color w:val="auto"/>
          <w:sz w:val="20"/>
          <w:szCs w:val="20"/>
        </w:rPr>
        <w:fldChar w:fldCharType="end"/>
      </w:r>
      <w:bookmarkEnd w:id="38"/>
      <w:r w:rsidRPr="00945D18">
        <w:rPr>
          <w:color w:val="auto"/>
          <w:sz w:val="20"/>
          <w:szCs w:val="20"/>
          <w:lang w:val="en-GB"/>
        </w:rPr>
        <w:t>: Total number of LDVs used for the calculations</w:t>
      </w:r>
      <w:bookmarkEnd w:id="39"/>
    </w:p>
    <w:tbl>
      <w:tblPr>
        <w:tblStyle w:val="LightList1"/>
        <w:tblW w:w="0" w:type="auto"/>
        <w:jc w:val="center"/>
        <w:tblLook w:val="04A0" w:firstRow="1" w:lastRow="0" w:firstColumn="1" w:lastColumn="0" w:noHBand="0" w:noVBand="1"/>
      </w:tblPr>
      <w:tblGrid>
        <w:gridCol w:w="622"/>
        <w:gridCol w:w="773"/>
        <w:gridCol w:w="1995"/>
        <w:gridCol w:w="571"/>
        <w:gridCol w:w="3077"/>
        <w:gridCol w:w="571"/>
      </w:tblGrid>
      <w:tr w:rsidR="004C2BA3" w:rsidRPr="008A206D" w:rsidTr="003639EC">
        <w:trPr>
          <w:cnfStyle w:val="100000000000" w:firstRow="1" w:lastRow="0" w:firstColumn="0" w:lastColumn="0" w:oddVBand="0" w:evenVBand="0" w:oddHBand="0" w:evenHBand="0" w:firstRowFirstColumn="0" w:firstRowLastColumn="0" w:lastRowFirstColumn="0" w:lastRowLastColumn="0"/>
          <w:trHeight w:val="579"/>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C2BA3" w:rsidRPr="00C263BA" w:rsidRDefault="004C2BA3" w:rsidP="003639EC">
            <w:pPr>
              <w:jc w:val="center"/>
              <w:rPr>
                <w:rFonts w:ascii="Calibri" w:eastAsia="Times New Roman" w:hAnsi="Calibri" w:cs="Times New Roman"/>
                <w:sz w:val="20"/>
                <w:szCs w:val="20"/>
              </w:rPr>
            </w:pPr>
            <w:r w:rsidRPr="00C263BA">
              <w:rPr>
                <w:rFonts w:ascii="Calibri" w:eastAsia="Times New Roman" w:hAnsi="Calibri" w:cs="Times New Roman"/>
                <w:sz w:val="20"/>
                <w:szCs w:val="20"/>
              </w:rPr>
              <w:t>Year</w:t>
            </w:r>
          </w:p>
        </w:tc>
        <w:tc>
          <w:tcPr>
            <w:tcW w:w="0" w:type="auto"/>
            <w:vAlign w:val="center"/>
            <w:hideMark/>
          </w:tcPr>
          <w:p w:rsidR="004C2BA3" w:rsidRPr="00C263BA" w:rsidRDefault="004C2BA3" w:rsidP="003639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C263BA">
              <w:rPr>
                <w:rFonts w:ascii="Calibri" w:eastAsia="Times New Roman" w:hAnsi="Calibri" w:cs="Times New Roman"/>
                <w:sz w:val="20"/>
                <w:szCs w:val="20"/>
              </w:rPr>
              <w:t>LDVs</w:t>
            </w:r>
          </w:p>
        </w:tc>
        <w:tc>
          <w:tcPr>
            <w:tcW w:w="1995" w:type="dxa"/>
            <w:vAlign w:val="center"/>
            <w:hideMark/>
          </w:tcPr>
          <w:p w:rsidR="004C2BA3" w:rsidRPr="00C263BA" w:rsidRDefault="004C2BA3" w:rsidP="003639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C263BA">
              <w:rPr>
                <w:rFonts w:ascii="Calibri" w:eastAsia="Times New Roman" w:hAnsi="Calibri" w:cs="Times New Roman"/>
                <w:sz w:val="20"/>
                <w:szCs w:val="20"/>
              </w:rPr>
              <w:t>LDVs with calculated fuel economy</w:t>
            </w:r>
          </w:p>
        </w:tc>
        <w:tc>
          <w:tcPr>
            <w:tcW w:w="571" w:type="dxa"/>
            <w:vAlign w:val="center"/>
            <w:hideMark/>
          </w:tcPr>
          <w:p w:rsidR="004C2BA3" w:rsidRPr="00C263BA" w:rsidRDefault="004C2BA3" w:rsidP="003639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C263BA">
              <w:rPr>
                <w:rFonts w:ascii="Calibri" w:eastAsia="Times New Roman" w:hAnsi="Calibri" w:cs="Times New Roman"/>
                <w:sz w:val="20"/>
                <w:szCs w:val="20"/>
              </w:rPr>
              <w:t>%</w:t>
            </w:r>
          </w:p>
        </w:tc>
        <w:tc>
          <w:tcPr>
            <w:tcW w:w="3077" w:type="dxa"/>
            <w:vAlign w:val="center"/>
            <w:hideMark/>
          </w:tcPr>
          <w:p w:rsidR="004C2BA3" w:rsidRPr="00C263BA" w:rsidRDefault="004C2BA3" w:rsidP="003639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C263BA">
              <w:rPr>
                <w:rFonts w:ascii="Calibri" w:eastAsia="Times New Roman" w:hAnsi="Calibri" w:cs="Times New Roman"/>
                <w:sz w:val="20"/>
                <w:szCs w:val="20"/>
              </w:rPr>
              <w:t>LDVs with calculated fuel economy (after data refinements)</w:t>
            </w:r>
          </w:p>
        </w:tc>
        <w:tc>
          <w:tcPr>
            <w:tcW w:w="571" w:type="dxa"/>
            <w:vAlign w:val="center"/>
            <w:hideMark/>
          </w:tcPr>
          <w:p w:rsidR="004C2BA3" w:rsidRPr="00C263BA" w:rsidRDefault="004C2BA3" w:rsidP="003639E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C263BA">
              <w:rPr>
                <w:rFonts w:ascii="Calibri" w:eastAsia="Times New Roman" w:hAnsi="Calibri" w:cs="Times New Roman"/>
                <w:sz w:val="20"/>
                <w:szCs w:val="20"/>
              </w:rPr>
              <w:t>%</w:t>
            </w:r>
          </w:p>
        </w:tc>
      </w:tr>
      <w:tr w:rsidR="004C2BA3" w:rsidRPr="00C263BA" w:rsidTr="003639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C2BA3" w:rsidRPr="00C263BA" w:rsidRDefault="004C2BA3" w:rsidP="003639EC">
            <w:pPr>
              <w:jc w:val="center"/>
              <w:rPr>
                <w:rFonts w:ascii="Calibri" w:eastAsia="Times New Roman" w:hAnsi="Calibri" w:cs="Times New Roman"/>
                <w:b w:val="0"/>
                <w:bCs w:val="0"/>
                <w:color w:val="000000"/>
                <w:sz w:val="20"/>
                <w:szCs w:val="20"/>
              </w:rPr>
            </w:pPr>
            <w:r w:rsidRPr="00C263BA">
              <w:rPr>
                <w:rFonts w:ascii="Calibri" w:eastAsia="Times New Roman" w:hAnsi="Calibri" w:cs="Times New Roman"/>
                <w:b w:val="0"/>
                <w:bCs w:val="0"/>
                <w:color w:val="000000"/>
                <w:sz w:val="20"/>
                <w:szCs w:val="20"/>
              </w:rPr>
              <w:t>2005</w:t>
            </w:r>
          </w:p>
        </w:tc>
        <w:tc>
          <w:tcPr>
            <w:tcW w:w="0" w:type="auto"/>
            <w:vAlign w:val="center"/>
            <w:hideMark/>
          </w:tcPr>
          <w:p w:rsidR="004C2BA3" w:rsidRPr="00C263BA" w:rsidRDefault="004C2BA3" w:rsidP="003639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25</w:t>
            </w:r>
            <w:r>
              <w:rPr>
                <w:rFonts w:ascii="Calibri" w:eastAsia="Times New Roman" w:hAnsi="Calibri" w:cs="Times New Roman"/>
                <w:color w:val="000000"/>
                <w:sz w:val="20"/>
                <w:szCs w:val="20"/>
              </w:rPr>
              <w:t>,</w:t>
            </w:r>
            <w:r w:rsidRPr="00C263BA">
              <w:rPr>
                <w:rFonts w:ascii="Calibri" w:eastAsia="Times New Roman" w:hAnsi="Calibri" w:cs="Times New Roman"/>
                <w:color w:val="000000"/>
                <w:sz w:val="20"/>
                <w:szCs w:val="20"/>
              </w:rPr>
              <w:t>019</w:t>
            </w:r>
          </w:p>
        </w:tc>
        <w:tc>
          <w:tcPr>
            <w:tcW w:w="1995" w:type="dxa"/>
            <w:vAlign w:val="center"/>
            <w:hideMark/>
          </w:tcPr>
          <w:p w:rsidR="004C2BA3" w:rsidRPr="00C263BA" w:rsidRDefault="004C2BA3" w:rsidP="003639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11,015</w:t>
            </w:r>
          </w:p>
        </w:tc>
        <w:tc>
          <w:tcPr>
            <w:tcW w:w="571" w:type="dxa"/>
            <w:vAlign w:val="center"/>
            <w:hideMark/>
          </w:tcPr>
          <w:p w:rsidR="004C2BA3" w:rsidRPr="00C263BA" w:rsidRDefault="004C2BA3" w:rsidP="003639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44.0</w:t>
            </w:r>
          </w:p>
        </w:tc>
        <w:tc>
          <w:tcPr>
            <w:tcW w:w="3077" w:type="dxa"/>
            <w:vAlign w:val="center"/>
            <w:hideMark/>
          </w:tcPr>
          <w:p w:rsidR="004C2BA3" w:rsidRPr="00C263BA" w:rsidRDefault="004C2BA3" w:rsidP="003639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7,8</w:t>
            </w:r>
            <w:r>
              <w:rPr>
                <w:rFonts w:ascii="Calibri" w:eastAsia="Times New Roman" w:hAnsi="Calibri" w:cs="Times New Roman"/>
                <w:color w:val="000000"/>
                <w:sz w:val="20"/>
                <w:szCs w:val="20"/>
              </w:rPr>
              <w:t>53</w:t>
            </w:r>
          </w:p>
        </w:tc>
        <w:tc>
          <w:tcPr>
            <w:tcW w:w="571" w:type="dxa"/>
            <w:noWrap/>
            <w:vAlign w:val="center"/>
            <w:hideMark/>
          </w:tcPr>
          <w:p w:rsidR="004C2BA3" w:rsidRPr="00C263BA" w:rsidRDefault="004C2BA3" w:rsidP="003639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31.</w:t>
            </w:r>
            <w:r>
              <w:rPr>
                <w:rFonts w:ascii="Calibri" w:eastAsia="Times New Roman" w:hAnsi="Calibri" w:cs="Times New Roman"/>
                <w:color w:val="000000"/>
                <w:sz w:val="20"/>
                <w:szCs w:val="20"/>
              </w:rPr>
              <w:t>4</w:t>
            </w:r>
          </w:p>
        </w:tc>
      </w:tr>
      <w:tr w:rsidR="004C2BA3" w:rsidRPr="00C263BA" w:rsidTr="003639EC">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C2BA3" w:rsidRPr="00C263BA" w:rsidRDefault="004C2BA3" w:rsidP="003639EC">
            <w:pPr>
              <w:jc w:val="center"/>
              <w:rPr>
                <w:rFonts w:ascii="Calibri" w:eastAsia="Times New Roman" w:hAnsi="Calibri" w:cs="Times New Roman"/>
                <w:b w:val="0"/>
                <w:bCs w:val="0"/>
                <w:color w:val="000000"/>
                <w:sz w:val="20"/>
                <w:szCs w:val="20"/>
              </w:rPr>
            </w:pPr>
            <w:r w:rsidRPr="00C263BA">
              <w:rPr>
                <w:rFonts w:ascii="Calibri" w:eastAsia="Times New Roman" w:hAnsi="Calibri" w:cs="Times New Roman"/>
                <w:b w:val="0"/>
                <w:bCs w:val="0"/>
                <w:color w:val="000000"/>
                <w:sz w:val="20"/>
                <w:szCs w:val="20"/>
              </w:rPr>
              <w:t>2008</w:t>
            </w:r>
          </w:p>
        </w:tc>
        <w:tc>
          <w:tcPr>
            <w:tcW w:w="0" w:type="auto"/>
            <w:vAlign w:val="center"/>
            <w:hideMark/>
          </w:tcPr>
          <w:p w:rsidR="004C2BA3" w:rsidRPr="00C263BA" w:rsidRDefault="004C2BA3" w:rsidP="003639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32</w:t>
            </w:r>
            <w:r>
              <w:rPr>
                <w:rFonts w:ascii="Calibri" w:eastAsia="Times New Roman" w:hAnsi="Calibri" w:cs="Times New Roman"/>
                <w:color w:val="000000"/>
                <w:sz w:val="20"/>
                <w:szCs w:val="20"/>
              </w:rPr>
              <w:t>,</w:t>
            </w:r>
            <w:r w:rsidRPr="00C263BA">
              <w:rPr>
                <w:rFonts w:ascii="Calibri" w:eastAsia="Times New Roman" w:hAnsi="Calibri" w:cs="Times New Roman"/>
                <w:color w:val="000000"/>
                <w:sz w:val="20"/>
                <w:szCs w:val="20"/>
              </w:rPr>
              <w:t>229</w:t>
            </w:r>
          </w:p>
        </w:tc>
        <w:tc>
          <w:tcPr>
            <w:tcW w:w="1995" w:type="dxa"/>
            <w:vAlign w:val="center"/>
            <w:hideMark/>
          </w:tcPr>
          <w:p w:rsidR="004C2BA3" w:rsidRPr="00C263BA" w:rsidRDefault="004C2BA3" w:rsidP="003639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14,553</w:t>
            </w:r>
          </w:p>
        </w:tc>
        <w:tc>
          <w:tcPr>
            <w:tcW w:w="571" w:type="dxa"/>
            <w:vAlign w:val="center"/>
            <w:hideMark/>
          </w:tcPr>
          <w:p w:rsidR="004C2BA3" w:rsidRPr="00C263BA" w:rsidRDefault="004C2BA3" w:rsidP="003639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45.2</w:t>
            </w:r>
          </w:p>
        </w:tc>
        <w:tc>
          <w:tcPr>
            <w:tcW w:w="3077" w:type="dxa"/>
            <w:vAlign w:val="center"/>
            <w:hideMark/>
          </w:tcPr>
          <w:p w:rsidR="004C2BA3" w:rsidRPr="00C263BA" w:rsidRDefault="004C2BA3" w:rsidP="003639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9,40</w:t>
            </w:r>
            <w:r>
              <w:rPr>
                <w:rFonts w:ascii="Calibri" w:eastAsia="Times New Roman" w:hAnsi="Calibri" w:cs="Times New Roman"/>
                <w:color w:val="000000"/>
                <w:sz w:val="20"/>
                <w:szCs w:val="20"/>
              </w:rPr>
              <w:t>4</w:t>
            </w:r>
          </w:p>
        </w:tc>
        <w:tc>
          <w:tcPr>
            <w:tcW w:w="571" w:type="dxa"/>
            <w:noWrap/>
            <w:vAlign w:val="center"/>
            <w:hideMark/>
          </w:tcPr>
          <w:p w:rsidR="004C2BA3" w:rsidRPr="00C263BA" w:rsidRDefault="004C2BA3" w:rsidP="003639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29.2</w:t>
            </w:r>
          </w:p>
        </w:tc>
      </w:tr>
      <w:tr w:rsidR="004C2BA3" w:rsidRPr="00C263BA" w:rsidTr="003639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C2BA3" w:rsidRPr="00C263BA" w:rsidRDefault="004C2BA3" w:rsidP="003639EC">
            <w:pPr>
              <w:jc w:val="center"/>
              <w:rPr>
                <w:rFonts w:ascii="Calibri" w:eastAsia="Times New Roman" w:hAnsi="Calibri" w:cs="Times New Roman"/>
                <w:b w:val="0"/>
                <w:bCs w:val="0"/>
                <w:color w:val="000000"/>
                <w:sz w:val="20"/>
                <w:szCs w:val="20"/>
              </w:rPr>
            </w:pPr>
            <w:r w:rsidRPr="00C263BA">
              <w:rPr>
                <w:rFonts w:ascii="Calibri" w:eastAsia="Times New Roman" w:hAnsi="Calibri" w:cs="Times New Roman"/>
                <w:b w:val="0"/>
                <w:bCs w:val="0"/>
                <w:color w:val="000000"/>
                <w:sz w:val="20"/>
                <w:szCs w:val="20"/>
              </w:rPr>
              <w:t>2010</w:t>
            </w:r>
          </w:p>
        </w:tc>
        <w:tc>
          <w:tcPr>
            <w:tcW w:w="0" w:type="auto"/>
            <w:vAlign w:val="center"/>
            <w:hideMark/>
          </w:tcPr>
          <w:p w:rsidR="004C2BA3" w:rsidRPr="00C263BA" w:rsidRDefault="004C2BA3" w:rsidP="003639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20</w:t>
            </w:r>
            <w:r>
              <w:rPr>
                <w:rFonts w:ascii="Calibri" w:eastAsia="Times New Roman" w:hAnsi="Calibri" w:cs="Times New Roman"/>
                <w:color w:val="000000"/>
                <w:sz w:val="20"/>
                <w:szCs w:val="20"/>
              </w:rPr>
              <w:t>,</w:t>
            </w:r>
            <w:r w:rsidRPr="00C263BA">
              <w:rPr>
                <w:rFonts w:ascii="Calibri" w:eastAsia="Times New Roman" w:hAnsi="Calibri" w:cs="Times New Roman"/>
                <w:color w:val="000000"/>
                <w:sz w:val="20"/>
                <w:szCs w:val="20"/>
              </w:rPr>
              <w:t>479</w:t>
            </w:r>
          </w:p>
        </w:tc>
        <w:tc>
          <w:tcPr>
            <w:tcW w:w="1995" w:type="dxa"/>
            <w:vAlign w:val="center"/>
            <w:hideMark/>
          </w:tcPr>
          <w:p w:rsidR="004C2BA3" w:rsidRPr="00C263BA" w:rsidRDefault="004C2BA3" w:rsidP="003639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9,256</w:t>
            </w:r>
          </w:p>
        </w:tc>
        <w:tc>
          <w:tcPr>
            <w:tcW w:w="571" w:type="dxa"/>
            <w:vAlign w:val="center"/>
            <w:hideMark/>
          </w:tcPr>
          <w:p w:rsidR="004C2BA3" w:rsidRPr="00C263BA" w:rsidRDefault="004C2BA3" w:rsidP="003639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45.2</w:t>
            </w:r>
          </w:p>
        </w:tc>
        <w:tc>
          <w:tcPr>
            <w:tcW w:w="3077" w:type="dxa"/>
            <w:vAlign w:val="center"/>
            <w:hideMark/>
          </w:tcPr>
          <w:p w:rsidR="004C2BA3" w:rsidRPr="00C263BA" w:rsidRDefault="004C2BA3" w:rsidP="003639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4,018</w:t>
            </w:r>
          </w:p>
        </w:tc>
        <w:tc>
          <w:tcPr>
            <w:tcW w:w="571" w:type="dxa"/>
            <w:noWrap/>
            <w:vAlign w:val="center"/>
            <w:hideMark/>
          </w:tcPr>
          <w:p w:rsidR="004C2BA3" w:rsidRPr="00C263BA" w:rsidRDefault="004C2BA3" w:rsidP="003639E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1</w:t>
            </w:r>
            <w:r>
              <w:rPr>
                <w:rFonts w:ascii="Calibri" w:eastAsia="Times New Roman" w:hAnsi="Calibri" w:cs="Times New Roman"/>
                <w:color w:val="000000"/>
                <w:sz w:val="20"/>
                <w:szCs w:val="20"/>
              </w:rPr>
              <w:t>9.6</w:t>
            </w:r>
          </w:p>
        </w:tc>
      </w:tr>
      <w:tr w:rsidR="004C2BA3" w:rsidRPr="00C263BA" w:rsidTr="003639EC">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C2BA3" w:rsidRPr="00C263BA" w:rsidRDefault="004C2BA3" w:rsidP="003639EC">
            <w:pPr>
              <w:jc w:val="center"/>
              <w:rPr>
                <w:rFonts w:ascii="Calibri" w:eastAsia="Times New Roman" w:hAnsi="Calibri" w:cs="Times New Roman"/>
                <w:b w:val="0"/>
                <w:bCs w:val="0"/>
                <w:color w:val="000000"/>
                <w:sz w:val="20"/>
                <w:szCs w:val="20"/>
              </w:rPr>
            </w:pPr>
            <w:r w:rsidRPr="00C263BA">
              <w:rPr>
                <w:rFonts w:ascii="Calibri" w:eastAsia="Times New Roman" w:hAnsi="Calibri" w:cs="Times New Roman"/>
                <w:b w:val="0"/>
                <w:bCs w:val="0"/>
                <w:color w:val="000000"/>
                <w:sz w:val="20"/>
                <w:szCs w:val="20"/>
              </w:rPr>
              <w:t>2012</w:t>
            </w:r>
          </w:p>
        </w:tc>
        <w:tc>
          <w:tcPr>
            <w:tcW w:w="0" w:type="auto"/>
            <w:vAlign w:val="center"/>
            <w:hideMark/>
          </w:tcPr>
          <w:p w:rsidR="004C2BA3" w:rsidRPr="00C263BA" w:rsidRDefault="004C2BA3" w:rsidP="003639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28</w:t>
            </w:r>
            <w:r>
              <w:rPr>
                <w:rFonts w:ascii="Calibri" w:eastAsia="Times New Roman" w:hAnsi="Calibri" w:cs="Times New Roman"/>
                <w:color w:val="000000"/>
                <w:sz w:val="20"/>
                <w:szCs w:val="20"/>
              </w:rPr>
              <w:t>,</w:t>
            </w:r>
            <w:r w:rsidRPr="00C263BA">
              <w:rPr>
                <w:rFonts w:ascii="Calibri" w:eastAsia="Times New Roman" w:hAnsi="Calibri" w:cs="Times New Roman"/>
                <w:color w:val="000000"/>
                <w:sz w:val="20"/>
                <w:szCs w:val="20"/>
              </w:rPr>
              <w:t>552</w:t>
            </w:r>
          </w:p>
        </w:tc>
        <w:tc>
          <w:tcPr>
            <w:tcW w:w="1995" w:type="dxa"/>
            <w:vAlign w:val="center"/>
            <w:hideMark/>
          </w:tcPr>
          <w:p w:rsidR="004C2BA3" w:rsidRPr="00C263BA" w:rsidRDefault="004C2BA3" w:rsidP="003639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15,012</w:t>
            </w:r>
          </w:p>
        </w:tc>
        <w:tc>
          <w:tcPr>
            <w:tcW w:w="571" w:type="dxa"/>
            <w:vAlign w:val="center"/>
            <w:hideMark/>
          </w:tcPr>
          <w:p w:rsidR="004C2BA3" w:rsidRPr="00C263BA" w:rsidRDefault="004C2BA3" w:rsidP="003639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52.6</w:t>
            </w:r>
          </w:p>
        </w:tc>
        <w:tc>
          <w:tcPr>
            <w:tcW w:w="3077" w:type="dxa"/>
            <w:vAlign w:val="center"/>
            <w:hideMark/>
          </w:tcPr>
          <w:p w:rsidR="004C2BA3" w:rsidRPr="00C263BA" w:rsidRDefault="004C2BA3" w:rsidP="003639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7,6</w:t>
            </w:r>
            <w:r>
              <w:rPr>
                <w:rFonts w:ascii="Calibri" w:eastAsia="Times New Roman" w:hAnsi="Calibri" w:cs="Times New Roman"/>
                <w:color w:val="000000"/>
                <w:sz w:val="20"/>
                <w:szCs w:val="20"/>
              </w:rPr>
              <w:t>10</w:t>
            </w:r>
          </w:p>
        </w:tc>
        <w:tc>
          <w:tcPr>
            <w:tcW w:w="571" w:type="dxa"/>
            <w:noWrap/>
            <w:vAlign w:val="center"/>
            <w:hideMark/>
          </w:tcPr>
          <w:p w:rsidR="004C2BA3" w:rsidRPr="00C263BA" w:rsidRDefault="004C2BA3" w:rsidP="003639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263BA">
              <w:rPr>
                <w:rFonts w:ascii="Calibri" w:eastAsia="Times New Roman" w:hAnsi="Calibri" w:cs="Times New Roman"/>
                <w:color w:val="000000"/>
                <w:sz w:val="20"/>
                <w:szCs w:val="20"/>
              </w:rPr>
              <w:t>2</w:t>
            </w:r>
            <w:r>
              <w:rPr>
                <w:rFonts w:ascii="Calibri" w:eastAsia="Times New Roman" w:hAnsi="Calibri" w:cs="Times New Roman"/>
                <w:color w:val="000000"/>
                <w:sz w:val="20"/>
                <w:szCs w:val="20"/>
              </w:rPr>
              <w:t>6.7</w:t>
            </w:r>
          </w:p>
        </w:tc>
      </w:tr>
    </w:tbl>
    <w:p w:rsidR="004C2BA3" w:rsidRPr="004C2BA3" w:rsidRDefault="004C2BA3" w:rsidP="001F76C3">
      <w:pPr>
        <w:pStyle w:val="ListParagraph"/>
        <w:spacing w:after="0" w:line="240" w:lineRule="auto"/>
        <w:jc w:val="both"/>
        <w:rPr>
          <w:b/>
          <w:bCs/>
          <w:sz w:val="24"/>
          <w:szCs w:val="24"/>
        </w:rPr>
      </w:pPr>
    </w:p>
    <w:p w:rsidR="00386C4E" w:rsidRDefault="00140580" w:rsidP="00386C4E">
      <w:pPr>
        <w:pStyle w:val="ListParagraph"/>
        <w:numPr>
          <w:ilvl w:val="0"/>
          <w:numId w:val="12"/>
        </w:numPr>
        <w:spacing w:after="0" w:line="240" w:lineRule="auto"/>
        <w:jc w:val="both"/>
        <w:rPr>
          <w:sz w:val="24"/>
          <w:szCs w:val="24"/>
          <w:lang w:val="en-GB"/>
        </w:rPr>
      </w:pPr>
      <w:r>
        <w:rPr>
          <w:sz w:val="24"/>
          <w:szCs w:val="24"/>
          <w:lang w:val="en-GB"/>
        </w:rPr>
        <w:t>P</w:t>
      </w:r>
      <w:r w:rsidR="00FA25A7">
        <w:rPr>
          <w:sz w:val="24"/>
          <w:szCs w:val="24"/>
          <w:lang w:val="en-GB"/>
        </w:rPr>
        <w:t xml:space="preserve">ivot tables are </w:t>
      </w:r>
      <w:r w:rsidR="002916FA">
        <w:rPr>
          <w:sz w:val="24"/>
          <w:szCs w:val="24"/>
          <w:lang w:val="en-GB"/>
        </w:rPr>
        <w:t xml:space="preserve">then </w:t>
      </w:r>
      <w:r w:rsidR="00FA25A7">
        <w:rPr>
          <w:sz w:val="24"/>
          <w:szCs w:val="24"/>
          <w:lang w:val="en-GB"/>
        </w:rPr>
        <w:t xml:space="preserve">created to </w:t>
      </w:r>
      <w:r w:rsidR="00A45E7E">
        <w:rPr>
          <w:sz w:val="24"/>
          <w:szCs w:val="24"/>
          <w:lang w:val="en-GB"/>
        </w:rPr>
        <w:t>calculate the weighted average fuel economy and CO</w:t>
      </w:r>
      <w:r w:rsidR="00A45E7E" w:rsidRPr="00EF7AC5">
        <w:rPr>
          <w:sz w:val="24"/>
          <w:szCs w:val="24"/>
          <w:vertAlign w:val="subscript"/>
          <w:lang w:val="en-GB"/>
        </w:rPr>
        <w:t>2</w:t>
      </w:r>
      <w:r w:rsidR="00A45E7E">
        <w:rPr>
          <w:sz w:val="24"/>
          <w:szCs w:val="24"/>
          <w:lang w:val="en-GB"/>
        </w:rPr>
        <w:t xml:space="preserve"> emissions of new LDVs in Bahrain</w:t>
      </w:r>
      <w:r w:rsidR="00386C4E">
        <w:rPr>
          <w:sz w:val="24"/>
          <w:szCs w:val="24"/>
          <w:lang w:val="en-GB"/>
        </w:rPr>
        <w:t xml:space="preserve"> using the following equations (GFEI, no date):</w:t>
      </w:r>
    </w:p>
    <w:p w:rsidR="00526738" w:rsidRDefault="00526738" w:rsidP="003312DD">
      <w:pPr>
        <w:pStyle w:val="ListParagraph"/>
        <w:spacing w:after="0" w:line="240" w:lineRule="auto"/>
        <w:jc w:val="both"/>
        <w:rPr>
          <w:sz w:val="24"/>
          <w:szCs w:val="24"/>
          <w:lang w:val="en-GB"/>
        </w:rPr>
      </w:pPr>
    </w:p>
    <w:p w:rsidR="00213B56" w:rsidRDefault="00213B56" w:rsidP="003312DD">
      <w:pPr>
        <w:pStyle w:val="ListParagraph"/>
        <w:spacing w:after="0" w:line="240" w:lineRule="auto"/>
        <w:jc w:val="both"/>
        <w:rPr>
          <w:sz w:val="24"/>
          <w:szCs w:val="24"/>
          <w:lang w:val="en-GB"/>
        </w:rPr>
      </w:pPr>
    </w:p>
    <w:p w:rsidR="00213B56" w:rsidRDefault="00213B56" w:rsidP="00526738">
      <w:pPr>
        <w:pStyle w:val="ListParagraph"/>
        <w:spacing w:after="0" w:line="240" w:lineRule="auto"/>
        <w:jc w:val="center"/>
        <w:rPr>
          <w:sz w:val="24"/>
          <w:szCs w:val="24"/>
          <w:lang w:val="en-GB"/>
        </w:rPr>
      </w:pPr>
      <w:r>
        <w:rPr>
          <w:noProof/>
        </w:rPr>
        <w:drawing>
          <wp:inline distT="0" distB="0" distL="0" distR="0">
            <wp:extent cx="4114800" cy="428625"/>
            <wp:effectExtent l="19050" t="0" r="0" b="0"/>
            <wp:docPr id="8" name="Picture 1" descr="http://www.unep.org/transport/gfei/autotool/nextsteps/images/harmonic_av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p.org/transport/gfei/autotool/nextsteps/images/harmonic_avrage.jpg"/>
                    <pic:cNvPicPr>
                      <a:picLocks noChangeAspect="1" noChangeArrowheads="1"/>
                    </pic:cNvPicPr>
                  </pic:nvPicPr>
                  <pic:blipFill>
                    <a:blip r:embed="rId44"/>
                    <a:srcRect/>
                    <a:stretch>
                      <a:fillRect/>
                    </a:stretch>
                  </pic:blipFill>
                  <pic:spPr bwMode="auto">
                    <a:xfrm>
                      <a:off x="0" y="0"/>
                      <a:ext cx="4114800" cy="428625"/>
                    </a:xfrm>
                    <a:prstGeom prst="rect">
                      <a:avLst/>
                    </a:prstGeom>
                    <a:noFill/>
                    <a:ln w="9525">
                      <a:noFill/>
                      <a:miter lim="800000"/>
                      <a:headEnd/>
                      <a:tailEnd/>
                    </a:ln>
                  </pic:spPr>
                </pic:pic>
              </a:graphicData>
            </a:graphic>
          </wp:inline>
        </w:drawing>
      </w:r>
    </w:p>
    <w:p w:rsidR="00526738" w:rsidRDefault="00526738" w:rsidP="00526738">
      <w:pPr>
        <w:pStyle w:val="ListParagraph"/>
        <w:spacing w:after="0" w:line="240" w:lineRule="auto"/>
        <w:jc w:val="center"/>
        <w:rPr>
          <w:sz w:val="24"/>
          <w:szCs w:val="24"/>
          <w:lang w:val="en-GB"/>
        </w:rPr>
      </w:pPr>
    </w:p>
    <w:p w:rsidR="00526738" w:rsidRDefault="00526738" w:rsidP="00386C4E">
      <w:pPr>
        <w:pStyle w:val="ListParagraph"/>
        <w:spacing w:after="0" w:line="240" w:lineRule="auto"/>
        <w:jc w:val="both"/>
        <w:rPr>
          <w:sz w:val="24"/>
          <w:szCs w:val="24"/>
          <w:lang w:val="en-GB"/>
        </w:rPr>
      </w:pPr>
    </w:p>
    <w:p w:rsidR="00386C4E" w:rsidRDefault="00526738" w:rsidP="00526738">
      <w:pPr>
        <w:pStyle w:val="ListParagraph"/>
        <w:spacing w:after="0" w:line="240" w:lineRule="auto"/>
        <w:jc w:val="center"/>
        <w:rPr>
          <w:sz w:val="24"/>
          <w:szCs w:val="24"/>
          <w:lang w:val="en-GB"/>
        </w:rPr>
      </w:pPr>
      <w:r>
        <w:rPr>
          <w:noProof/>
        </w:rPr>
        <w:drawing>
          <wp:inline distT="0" distB="0" distL="0" distR="0">
            <wp:extent cx="4114800" cy="371475"/>
            <wp:effectExtent l="19050" t="0" r="0" b="0"/>
            <wp:docPr id="6" name="Picture 4" descr="http://www.unep.org/transport/gfei/autotool/nextsteps/images/avrage_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ep.org/transport/gfei/autotool/nextsteps/images/avrage_ann.jpg"/>
                    <pic:cNvPicPr>
                      <a:picLocks noChangeAspect="1" noChangeArrowheads="1"/>
                    </pic:cNvPicPr>
                  </pic:nvPicPr>
                  <pic:blipFill>
                    <a:blip r:embed="rId45"/>
                    <a:srcRect/>
                    <a:stretch>
                      <a:fillRect/>
                    </a:stretch>
                  </pic:blipFill>
                  <pic:spPr bwMode="auto">
                    <a:xfrm>
                      <a:off x="0" y="0"/>
                      <a:ext cx="4114800" cy="371475"/>
                    </a:xfrm>
                    <a:prstGeom prst="rect">
                      <a:avLst/>
                    </a:prstGeom>
                    <a:noFill/>
                    <a:ln w="9525">
                      <a:noFill/>
                      <a:miter lim="800000"/>
                      <a:headEnd/>
                      <a:tailEnd/>
                    </a:ln>
                  </pic:spPr>
                </pic:pic>
              </a:graphicData>
            </a:graphic>
          </wp:inline>
        </w:drawing>
      </w:r>
    </w:p>
    <w:p w:rsidR="00526738" w:rsidRDefault="00526738" w:rsidP="00386C4E">
      <w:pPr>
        <w:pStyle w:val="ListParagraph"/>
        <w:spacing w:after="0" w:line="240" w:lineRule="auto"/>
        <w:jc w:val="both"/>
        <w:rPr>
          <w:sz w:val="24"/>
          <w:szCs w:val="24"/>
          <w:lang w:val="en-GB"/>
        </w:rPr>
      </w:pPr>
    </w:p>
    <w:p w:rsidR="006A4741" w:rsidRPr="00643CF7" w:rsidRDefault="00A45E7E" w:rsidP="00643CF7">
      <w:pPr>
        <w:pStyle w:val="ListParagraph"/>
        <w:numPr>
          <w:ilvl w:val="0"/>
          <w:numId w:val="12"/>
        </w:numPr>
        <w:jc w:val="both"/>
        <w:rPr>
          <w:rFonts w:ascii="GillSansMT" w:hAnsi="GillSansMT" w:cs="GillSansMT"/>
        </w:rPr>
      </w:pPr>
      <w:r w:rsidRPr="00643CF7">
        <w:rPr>
          <w:rFonts w:ascii="Calibri" w:hAnsi="Calibri"/>
          <w:sz w:val="24"/>
          <w:szCs w:val="24"/>
          <w:lang w:val="en-GB"/>
        </w:rPr>
        <w:lastRenderedPageBreak/>
        <w:t xml:space="preserve">The fuel economy </w:t>
      </w:r>
      <w:r w:rsidR="006A4741" w:rsidRPr="00643CF7">
        <w:rPr>
          <w:rFonts w:ascii="Calibri" w:hAnsi="Calibri"/>
          <w:sz w:val="24"/>
          <w:szCs w:val="24"/>
          <w:lang w:val="en-GB"/>
        </w:rPr>
        <w:t>estimate</w:t>
      </w:r>
      <w:r w:rsidRPr="00643CF7">
        <w:rPr>
          <w:rFonts w:ascii="Calibri" w:hAnsi="Calibri"/>
          <w:sz w:val="24"/>
          <w:szCs w:val="24"/>
          <w:lang w:val="en-GB"/>
        </w:rPr>
        <w:t xml:space="preserve"> is then converted </w:t>
      </w:r>
      <w:r w:rsidR="00754840" w:rsidRPr="00643CF7">
        <w:rPr>
          <w:rFonts w:ascii="Calibri" w:hAnsi="Calibri"/>
          <w:sz w:val="24"/>
          <w:szCs w:val="24"/>
          <w:lang w:val="en-GB"/>
        </w:rPr>
        <w:t>from</w:t>
      </w:r>
      <w:r w:rsidR="006A4741" w:rsidRPr="00643CF7">
        <w:rPr>
          <w:rFonts w:ascii="Calibri" w:hAnsi="Calibri"/>
          <w:sz w:val="24"/>
          <w:szCs w:val="24"/>
          <w:lang w:val="en-GB"/>
        </w:rPr>
        <w:t xml:space="preserve"> Corporate Average Fuel Economy (CAFE) </w:t>
      </w:r>
      <w:r w:rsidRPr="00643CF7">
        <w:rPr>
          <w:rFonts w:ascii="Calibri" w:hAnsi="Calibri"/>
          <w:sz w:val="24"/>
          <w:szCs w:val="24"/>
          <w:lang w:val="en-GB"/>
        </w:rPr>
        <w:t xml:space="preserve">to </w:t>
      </w:r>
      <w:r w:rsidR="006A4741" w:rsidRPr="00643CF7">
        <w:rPr>
          <w:rFonts w:ascii="Calibri" w:hAnsi="Calibri"/>
          <w:sz w:val="24"/>
          <w:szCs w:val="24"/>
          <w:lang w:val="en-GB"/>
        </w:rPr>
        <w:t>New European Driving Cycle (</w:t>
      </w:r>
      <w:r w:rsidRPr="00643CF7">
        <w:rPr>
          <w:rFonts w:ascii="Calibri" w:hAnsi="Calibri"/>
          <w:sz w:val="24"/>
          <w:szCs w:val="24"/>
          <w:lang w:val="en-GB"/>
        </w:rPr>
        <w:t>NEDC</w:t>
      </w:r>
      <w:r w:rsidR="006A4741" w:rsidRPr="00643CF7">
        <w:rPr>
          <w:rFonts w:ascii="Calibri" w:hAnsi="Calibri"/>
          <w:sz w:val="24"/>
          <w:szCs w:val="24"/>
          <w:lang w:val="en-GB"/>
        </w:rPr>
        <w:t xml:space="preserve">) </w:t>
      </w:r>
      <w:r w:rsidRPr="00643CF7">
        <w:rPr>
          <w:rFonts w:ascii="Calibri" w:hAnsi="Calibri"/>
          <w:sz w:val="24"/>
          <w:szCs w:val="24"/>
          <w:lang w:val="en-GB"/>
        </w:rPr>
        <w:t xml:space="preserve">using </w:t>
      </w:r>
      <w:r w:rsidR="00754840" w:rsidRPr="00643CF7">
        <w:rPr>
          <w:rFonts w:ascii="Calibri" w:hAnsi="Calibri" w:cs="GillSansMT"/>
          <w:sz w:val="24"/>
          <w:szCs w:val="24"/>
        </w:rPr>
        <w:t xml:space="preserve">the Test Cycle Conversion Tool: </w:t>
      </w:r>
      <w:hyperlink r:id="rId46" w:history="1">
        <w:r w:rsidR="006A4741" w:rsidRPr="00643CF7">
          <w:rPr>
            <w:rStyle w:val="Hyperlink"/>
            <w:rFonts w:ascii="Calibri" w:hAnsi="Calibri"/>
            <w:sz w:val="24"/>
            <w:szCs w:val="24"/>
          </w:rPr>
          <w:t>http://www.theicct.org/sites/default/files/info-tools/GlobalStdReview_Conversionfactor_May17_v1.xlsx</w:t>
        </w:r>
      </w:hyperlink>
      <w:r w:rsidR="006A4741" w:rsidRPr="00643CF7">
        <w:rPr>
          <w:rFonts w:ascii="GillSansMT" w:hAnsi="GillSansMT" w:cs="GillSansMT"/>
        </w:rPr>
        <w:t xml:space="preserve"> . </w:t>
      </w:r>
    </w:p>
    <w:p w:rsidR="00CC2321" w:rsidRPr="00754840" w:rsidRDefault="00CC2321" w:rsidP="006A4741">
      <w:pPr>
        <w:pStyle w:val="ListParagraph"/>
        <w:keepNext/>
        <w:numPr>
          <w:ilvl w:val="0"/>
          <w:numId w:val="12"/>
        </w:numPr>
        <w:spacing w:after="0" w:line="240" w:lineRule="auto"/>
        <w:jc w:val="both"/>
        <w:rPr>
          <w:b/>
          <w:bCs/>
          <w:sz w:val="24"/>
          <w:szCs w:val="24"/>
          <w:lang w:val="en-GB"/>
        </w:rPr>
      </w:pPr>
      <w:r w:rsidRPr="00754840">
        <w:rPr>
          <w:b/>
          <w:bCs/>
          <w:sz w:val="24"/>
          <w:szCs w:val="24"/>
          <w:lang w:val="en-GB"/>
        </w:rPr>
        <w:br w:type="page"/>
      </w:r>
    </w:p>
    <w:p w:rsidR="00CC2321" w:rsidRDefault="00CC2321" w:rsidP="00416C7C">
      <w:pPr>
        <w:pageBreakBefore/>
        <w:spacing w:after="0" w:line="240" w:lineRule="auto"/>
        <w:jc w:val="both"/>
        <w:rPr>
          <w:b/>
          <w:bCs/>
          <w:sz w:val="24"/>
          <w:szCs w:val="24"/>
          <w:lang w:val="en-GB"/>
        </w:rPr>
        <w:sectPr w:rsidR="00CC2321" w:rsidSect="0032066E">
          <w:footerReference w:type="default" r:id="rId47"/>
          <w:pgSz w:w="12240" w:h="15840"/>
          <w:pgMar w:top="1440" w:right="1440" w:bottom="1440" w:left="1440" w:header="720" w:footer="720" w:gutter="0"/>
          <w:cols w:space="720"/>
          <w:docGrid w:linePitch="360"/>
        </w:sectPr>
      </w:pPr>
    </w:p>
    <w:p w:rsidR="00715119" w:rsidRPr="00213B56" w:rsidRDefault="00715119" w:rsidP="00213B56">
      <w:pPr>
        <w:pStyle w:val="Heading2"/>
        <w:numPr>
          <w:ilvl w:val="0"/>
          <w:numId w:val="0"/>
        </w:numPr>
        <w:ind w:left="714" w:hanging="357"/>
        <w:rPr>
          <w:sz w:val="24"/>
          <w:szCs w:val="24"/>
        </w:rPr>
      </w:pPr>
      <w:bookmarkStart w:id="40" w:name="_Toc377544406"/>
      <w:r w:rsidRPr="00213B56">
        <w:rPr>
          <w:sz w:val="24"/>
          <w:szCs w:val="24"/>
        </w:rPr>
        <w:lastRenderedPageBreak/>
        <w:t xml:space="preserve">Annex 2: </w:t>
      </w:r>
      <w:r w:rsidR="00416C7C" w:rsidRPr="00213B56">
        <w:rPr>
          <w:sz w:val="24"/>
          <w:szCs w:val="24"/>
        </w:rPr>
        <w:t>Sample of the data</w:t>
      </w:r>
      <w:bookmarkEnd w:id="40"/>
    </w:p>
    <w:p w:rsidR="00416C7C" w:rsidRDefault="00416C7C" w:rsidP="00416C7C">
      <w:pPr>
        <w:spacing w:after="0" w:line="240" w:lineRule="auto"/>
        <w:jc w:val="both"/>
        <w:rPr>
          <w:b/>
          <w:bCs/>
          <w:sz w:val="24"/>
          <w:szCs w:val="24"/>
          <w:lang w:val="en-GB"/>
        </w:rPr>
      </w:pPr>
    </w:p>
    <w:p w:rsidR="00416C7C" w:rsidRDefault="00E55000" w:rsidP="00416C7C">
      <w:pPr>
        <w:spacing w:after="0" w:line="240" w:lineRule="auto"/>
        <w:jc w:val="both"/>
        <w:rPr>
          <w:b/>
          <w:bCs/>
          <w:sz w:val="24"/>
          <w:szCs w:val="24"/>
          <w:lang w:val="en-GB"/>
        </w:rPr>
      </w:pPr>
      <w:r w:rsidRPr="00E55000">
        <w:rPr>
          <w:b/>
          <w:bCs/>
          <w:noProof/>
          <w:sz w:val="24"/>
          <w:szCs w:val="24"/>
        </w:rPr>
        <w:drawing>
          <wp:inline distT="0" distB="0" distL="0" distR="0">
            <wp:extent cx="8120239" cy="4741333"/>
            <wp:effectExtent l="19050" t="0" r="0" b="0"/>
            <wp:docPr id="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srcRect t="2895" b="3563"/>
                    <a:stretch>
                      <a:fillRect/>
                    </a:stretch>
                  </pic:blipFill>
                  <pic:spPr bwMode="auto">
                    <a:xfrm>
                      <a:off x="0" y="0"/>
                      <a:ext cx="8120239" cy="4741333"/>
                    </a:xfrm>
                    <a:prstGeom prst="rect">
                      <a:avLst/>
                    </a:prstGeom>
                    <a:noFill/>
                    <a:ln w="9525">
                      <a:noFill/>
                      <a:miter lim="800000"/>
                      <a:headEnd/>
                      <a:tailEnd/>
                    </a:ln>
                  </pic:spPr>
                </pic:pic>
              </a:graphicData>
            </a:graphic>
          </wp:inline>
        </w:drawing>
      </w:r>
    </w:p>
    <w:p w:rsidR="00CC2321" w:rsidRDefault="00CC2321" w:rsidP="00936F10">
      <w:pPr>
        <w:pageBreakBefore/>
        <w:spacing w:after="0" w:line="240" w:lineRule="auto"/>
        <w:jc w:val="both"/>
        <w:rPr>
          <w:b/>
          <w:bCs/>
          <w:sz w:val="24"/>
          <w:szCs w:val="24"/>
          <w:lang w:val="en-GB"/>
        </w:rPr>
        <w:sectPr w:rsidR="00CC2321" w:rsidSect="00CC2321">
          <w:pgSz w:w="15840" w:h="12240" w:orient="landscape"/>
          <w:pgMar w:top="1440" w:right="1440" w:bottom="1440" w:left="1440" w:header="720" w:footer="720" w:gutter="0"/>
          <w:cols w:space="720"/>
          <w:docGrid w:linePitch="360"/>
        </w:sectPr>
      </w:pPr>
    </w:p>
    <w:p w:rsidR="00936F10" w:rsidRPr="00213B56" w:rsidRDefault="00936F10" w:rsidP="00213B56">
      <w:pPr>
        <w:pStyle w:val="Heading2"/>
        <w:numPr>
          <w:ilvl w:val="0"/>
          <w:numId w:val="0"/>
        </w:numPr>
        <w:ind w:left="714" w:hanging="357"/>
        <w:rPr>
          <w:sz w:val="24"/>
          <w:szCs w:val="24"/>
        </w:rPr>
      </w:pPr>
      <w:bookmarkStart w:id="41" w:name="_Toc377544407"/>
      <w:r w:rsidRPr="00213B56">
        <w:rPr>
          <w:sz w:val="24"/>
          <w:szCs w:val="24"/>
        </w:rPr>
        <w:lastRenderedPageBreak/>
        <w:t>Annex 3: Tables</w:t>
      </w:r>
      <w:bookmarkEnd w:id="41"/>
    </w:p>
    <w:p w:rsidR="00EF34DF" w:rsidRPr="00EF34DF" w:rsidRDefault="00936F10" w:rsidP="00EF34DF">
      <w:pPr>
        <w:keepNext/>
        <w:spacing w:after="0" w:line="240" w:lineRule="auto"/>
        <w:jc w:val="center"/>
        <w:rPr>
          <w:rFonts w:cs="Times New Roman"/>
          <w:b/>
          <w:bCs/>
          <w:sz w:val="20"/>
          <w:szCs w:val="20"/>
        </w:rPr>
      </w:pPr>
      <w:bookmarkStart w:id="42" w:name="_Toc377544429"/>
      <w:r w:rsidRPr="00EF34DF">
        <w:rPr>
          <w:b/>
          <w:bCs/>
          <w:sz w:val="20"/>
          <w:szCs w:val="20"/>
        </w:rPr>
        <w:t xml:space="preserve">Table </w:t>
      </w:r>
      <w:r w:rsidR="00EF653E" w:rsidRPr="00EF34DF">
        <w:rPr>
          <w:b/>
          <w:bCs/>
          <w:sz w:val="20"/>
          <w:szCs w:val="20"/>
        </w:rPr>
        <w:fldChar w:fldCharType="begin"/>
      </w:r>
      <w:r w:rsidRPr="00EF34DF">
        <w:rPr>
          <w:b/>
          <w:bCs/>
          <w:sz w:val="20"/>
          <w:szCs w:val="20"/>
        </w:rPr>
        <w:instrText xml:space="preserve"> SEQ Table \* ARABIC </w:instrText>
      </w:r>
      <w:r w:rsidR="00EF653E" w:rsidRPr="00EF34DF">
        <w:rPr>
          <w:b/>
          <w:bCs/>
          <w:sz w:val="20"/>
          <w:szCs w:val="20"/>
        </w:rPr>
        <w:fldChar w:fldCharType="separate"/>
      </w:r>
      <w:r w:rsidR="003401C7">
        <w:rPr>
          <w:b/>
          <w:bCs/>
          <w:noProof/>
          <w:sz w:val="20"/>
          <w:szCs w:val="20"/>
        </w:rPr>
        <w:t>4</w:t>
      </w:r>
      <w:r w:rsidR="00EF653E" w:rsidRPr="00EF34DF">
        <w:rPr>
          <w:b/>
          <w:bCs/>
          <w:sz w:val="20"/>
          <w:szCs w:val="20"/>
        </w:rPr>
        <w:fldChar w:fldCharType="end"/>
      </w:r>
      <w:r w:rsidRPr="00EF34DF">
        <w:rPr>
          <w:b/>
          <w:bCs/>
          <w:noProof/>
          <w:sz w:val="20"/>
          <w:szCs w:val="20"/>
          <w:lang w:val="en-GB"/>
        </w:rPr>
        <w:t>:</w:t>
      </w:r>
      <w:r w:rsidR="00EF34DF" w:rsidRPr="00EF34DF">
        <w:rPr>
          <w:rFonts w:cs="Times New Roman"/>
          <w:b/>
          <w:bCs/>
          <w:sz w:val="20"/>
          <w:szCs w:val="20"/>
        </w:rPr>
        <w:t xml:space="preserve"> Passenger vehicle number vs. population size and real GDP in Bahrain between 2000 and 2010.</w:t>
      </w:r>
      <w:bookmarkEnd w:id="42"/>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22"/>
        <w:gridCol w:w="905"/>
        <w:gridCol w:w="1126"/>
        <w:gridCol w:w="1211"/>
      </w:tblGrid>
      <w:tr w:rsidR="00936F10" w:rsidRPr="00936F10" w:rsidTr="002A3DA7">
        <w:trPr>
          <w:trHeight w:val="300"/>
          <w:jc w:val="center"/>
        </w:trPr>
        <w:tc>
          <w:tcPr>
            <w:tcW w:w="0" w:type="auto"/>
            <w:shd w:val="clear" w:color="auto" w:fill="000000" w:themeFill="text1"/>
            <w:noWrap/>
            <w:vAlign w:val="center"/>
            <w:hideMark/>
          </w:tcPr>
          <w:p w:rsidR="00936F10" w:rsidRPr="00936F10" w:rsidRDefault="00936F10" w:rsidP="00936F10">
            <w:pPr>
              <w:spacing w:after="0" w:line="240" w:lineRule="auto"/>
              <w:jc w:val="center"/>
              <w:rPr>
                <w:rFonts w:eastAsia="Times New Roman" w:cs="Times New Roman"/>
                <w:b/>
                <w:bCs/>
                <w:color w:val="FFFFFF" w:themeColor="background1"/>
                <w:sz w:val="20"/>
                <w:szCs w:val="20"/>
              </w:rPr>
            </w:pPr>
            <w:r w:rsidRPr="00936F10">
              <w:rPr>
                <w:rFonts w:eastAsia="Times New Roman" w:cs="Times New Roman"/>
                <w:b/>
                <w:bCs/>
                <w:color w:val="FFFFFF" w:themeColor="background1"/>
                <w:sz w:val="20"/>
                <w:szCs w:val="20"/>
              </w:rPr>
              <w:t>Year</w:t>
            </w:r>
          </w:p>
        </w:tc>
        <w:tc>
          <w:tcPr>
            <w:tcW w:w="0" w:type="auto"/>
            <w:shd w:val="clear" w:color="auto" w:fill="000000" w:themeFill="text1"/>
            <w:noWrap/>
            <w:vAlign w:val="center"/>
            <w:hideMark/>
          </w:tcPr>
          <w:p w:rsidR="00936F10" w:rsidRPr="00936F10" w:rsidRDefault="00936F10" w:rsidP="00936F10">
            <w:pPr>
              <w:spacing w:after="0" w:line="240" w:lineRule="auto"/>
              <w:jc w:val="center"/>
              <w:rPr>
                <w:rFonts w:eastAsia="Times New Roman" w:cs="Times New Roman"/>
                <w:b/>
                <w:bCs/>
                <w:color w:val="FFFFFF" w:themeColor="background1"/>
                <w:sz w:val="20"/>
                <w:szCs w:val="20"/>
              </w:rPr>
            </w:pPr>
            <w:r w:rsidRPr="00936F10">
              <w:rPr>
                <w:rFonts w:eastAsia="Times New Roman" w:cs="Times New Roman"/>
                <w:b/>
                <w:bCs/>
                <w:color w:val="FFFFFF" w:themeColor="background1"/>
                <w:sz w:val="20"/>
                <w:szCs w:val="20"/>
              </w:rPr>
              <w:t>Vehicles</w:t>
            </w:r>
          </w:p>
        </w:tc>
        <w:tc>
          <w:tcPr>
            <w:tcW w:w="0" w:type="auto"/>
            <w:shd w:val="clear" w:color="auto" w:fill="000000" w:themeFill="text1"/>
            <w:noWrap/>
            <w:vAlign w:val="center"/>
            <w:hideMark/>
          </w:tcPr>
          <w:p w:rsidR="00936F10" w:rsidRPr="00936F10" w:rsidRDefault="00936F10" w:rsidP="00936F10">
            <w:pPr>
              <w:spacing w:after="0" w:line="240" w:lineRule="auto"/>
              <w:jc w:val="center"/>
              <w:rPr>
                <w:rFonts w:eastAsia="Times New Roman" w:cs="Times New Roman"/>
                <w:b/>
                <w:bCs/>
                <w:color w:val="FFFFFF" w:themeColor="background1"/>
                <w:sz w:val="20"/>
                <w:szCs w:val="20"/>
              </w:rPr>
            </w:pPr>
            <w:r w:rsidRPr="00936F10">
              <w:rPr>
                <w:rFonts w:eastAsia="Times New Roman" w:cs="Times New Roman"/>
                <w:b/>
                <w:bCs/>
                <w:color w:val="FFFFFF" w:themeColor="background1"/>
                <w:sz w:val="20"/>
                <w:szCs w:val="20"/>
              </w:rPr>
              <w:t>Population</w:t>
            </w:r>
          </w:p>
        </w:tc>
        <w:tc>
          <w:tcPr>
            <w:tcW w:w="0" w:type="auto"/>
            <w:shd w:val="clear" w:color="auto" w:fill="000000" w:themeFill="text1"/>
            <w:noWrap/>
            <w:vAlign w:val="center"/>
            <w:hideMark/>
          </w:tcPr>
          <w:p w:rsidR="00D31078" w:rsidRDefault="00936F10" w:rsidP="00936F10">
            <w:pPr>
              <w:spacing w:after="0" w:line="240" w:lineRule="auto"/>
              <w:jc w:val="center"/>
              <w:rPr>
                <w:rFonts w:eastAsia="Times New Roman" w:cs="Times New Roman"/>
                <w:b/>
                <w:bCs/>
                <w:color w:val="FFFFFF" w:themeColor="background1"/>
                <w:sz w:val="20"/>
                <w:szCs w:val="20"/>
              </w:rPr>
            </w:pPr>
            <w:r w:rsidRPr="00936F10">
              <w:rPr>
                <w:rFonts w:eastAsia="Times New Roman" w:cs="Times New Roman"/>
                <w:b/>
                <w:bCs/>
                <w:color w:val="FFFFFF" w:themeColor="background1"/>
                <w:sz w:val="20"/>
                <w:szCs w:val="20"/>
              </w:rPr>
              <w:t xml:space="preserve">Real GDP </w:t>
            </w:r>
          </w:p>
          <w:p w:rsidR="00936F10" w:rsidRPr="00936F10" w:rsidRDefault="00936F10" w:rsidP="00936F10">
            <w:pPr>
              <w:spacing w:after="0" w:line="240" w:lineRule="auto"/>
              <w:jc w:val="center"/>
              <w:rPr>
                <w:rFonts w:eastAsia="Times New Roman" w:cs="Times New Roman"/>
                <w:b/>
                <w:bCs/>
                <w:color w:val="FFFFFF" w:themeColor="background1"/>
                <w:sz w:val="20"/>
                <w:szCs w:val="20"/>
              </w:rPr>
            </w:pPr>
            <w:r w:rsidRPr="00936F10">
              <w:rPr>
                <w:rFonts w:eastAsia="Times New Roman" w:cs="Times New Roman"/>
                <w:b/>
                <w:bCs/>
                <w:color w:val="FFFFFF" w:themeColor="background1"/>
                <w:sz w:val="20"/>
                <w:szCs w:val="20"/>
              </w:rPr>
              <w:t>(BD Million)</w:t>
            </w:r>
          </w:p>
        </w:tc>
      </w:tr>
      <w:tr w:rsidR="00936F10" w:rsidRPr="00936F10" w:rsidTr="002A3DA7">
        <w:trPr>
          <w:trHeight w:val="300"/>
          <w:jc w:val="center"/>
        </w:trPr>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2000</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216679</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637,582</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2996.9</w:t>
            </w:r>
          </w:p>
        </w:tc>
      </w:tr>
      <w:tr w:rsidR="00936F10" w:rsidRPr="00936F10" w:rsidTr="002A3DA7">
        <w:trPr>
          <w:trHeight w:val="300"/>
          <w:jc w:val="center"/>
        </w:trPr>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2001</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229780</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661,317</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2981.5</w:t>
            </w:r>
          </w:p>
        </w:tc>
      </w:tr>
      <w:tr w:rsidR="00936F10" w:rsidRPr="00936F10" w:rsidTr="002A3DA7">
        <w:trPr>
          <w:trHeight w:val="300"/>
          <w:jc w:val="center"/>
        </w:trPr>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2002</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250978</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710,554</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3192.6</w:t>
            </w:r>
          </w:p>
        </w:tc>
      </w:tr>
      <w:tr w:rsidR="00936F10" w:rsidRPr="00936F10" w:rsidTr="002A3DA7">
        <w:trPr>
          <w:trHeight w:val="300"/>
          <w:jc w:val="center"/>
        </w:trPr>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2003</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273230</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764,519</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3665</w:t>
            </w:r>
          </w:p>
        </w:tc>
      </w:tr>
      <w:tr w:rsidR="00936F10" w:rsidRPr="00936F10" w:rsidTr="002A3DA7">
        <w:trPr>
          <w:trHeight w:val="300"/>
          <w:jc w:val="center"/>
        </w:trPr>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2004</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293801</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823,744</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4224.5</w:t>
            </w:r>
          </w:p>
        </w:tc>
      </w:tr>
      <w:tr w:rsidR="00936F10" w:rsidRPr="00936F10" w:rsidTr="002A3DA7">
        <w:trPr>
          <w:trHeight w:val="300"/>
          <w:jc w:val="center"/>
        </w:trPr>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2005</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314033</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888,824</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5060.6</w:t>
            </w:r>
          </w:p>
        </w:tc>
      </w:tr>
      <w:tr w:rsidR="00936F10" w:rsidRPr="00936F10" w:rsidTr="002A3DA7">
        <w:trPr>
          <w:trHeight w:val="300"/>
          <w:jc w:val="center"/>
        </w:trPr>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2006</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337545</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960,425</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5960.3</w:t>
            </w:r>
          </w:p>
        </w:tc>
      </w:tr>
      <w:tr w:rsidR="00936F10" w:rsidRPr="00936F10" w:rsidTr="002A3DA7">
        <w:trPr>
          <w:trHeight w:val="300"/>
          <w:jc w:val="center"/>
        </w:trPr>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2007</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366732</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1,039,297</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6945.6</w:t>
            </w:r>
          </w:p>
        </w:tc>
      </w:tr>
      <w:tr w:rsidR="00936F10" w:rsidRPr="00936F10" w:rsidTr="002A3DA7">
        <w:trPr>
          <w:trHeight w:val="300"/>
          <w:jc w:val="center"/>
        </w:trPr>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2008</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399546</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1,106,509</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8328.8</w:t>
            </w:r>
          </w:p>
        </w:tc>
      </w:tr>
      <w:tr w:rsidR="00936F10" w:rsidRPr="00936F10" w:rsidTr="002A3DA7">
        <w:trPr>
          <w:trHeight w:val="300"/>
          <w:jc w:val="center"/>
        </w:trPr>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2009</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428957</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1,178,415</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7377.5</w:t>
            </w:r>
          </w:p>
        </w:tc>
      </w:tr>
      <w:tr w:rsidR="00936F10" w:rsidRPr="00936F10" w:rsidTr="002A3DA7">
        <w:trPr>
          <w:trHeight w:val="300"/>
          <w:jc w:val="center"/>
        </w:trPr>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2010</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452222</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1,234,571</w:t>
            </w:r>
          </w:p>
        </w:tc>
        <w:tc>
          <w:tcPr>
            <w:tcW w:w="0" w:type="auto"/>
            <w:shd w:val="clear" w:color="auto" w:fill="auto"/>
            <w:noWrap/>
            <w:vAlign w:val="center"/>
            <w:hideMark/>
          </w:tcPr>
          <w:p w:rsidR="00936F10" w:rsidRPr="00936F10" w:rsidRDefault="00936F10" w:rsidP="00936F10">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8245.6</w:t>
            </w:r>
          </w:p>
        </w:tc>
      </w:tr>
    </w:tbl>
    <w:p w:rsidR="00936F10" w:rsidRPr="005743E2" w:rsidRDefault="00936F10" w:rsidP="00936F10">
      <w:pPr>
        <w:spacing w:after="0" w:line="240" w:lineRule="auto"/>
        <w:jc w:val="center"/>
        <w:rPr>
          <w:rFonts w:cs="Times New Roman"/>
          <w:sz w:val="20"/>
          <w:szCs w:val="20"/>
        </w:rPr>
      </w:pPr>
      <w:r w:rsidRPr="005743E2">
        <w:rPr>
          <w:rFonts w:cs="Times New Roman"/>
          <w:sz w:val="20"/>
          <w:szCs w:val="20"/>
        </w:rPr>
        <w:t>Source: CIO, 2011; CIO, 2012; MOF, 2011</w:t>
      </w:r>
    </w:p>
    <w:p w:rsidR="00936F10" w:rsidRDefault="00936F10" w:rsidP="00936F10">
      <w:pPr>
        <w:spacing w:after="0" w:line="240" w:lineRule="auto"/>
        <w:jc w:val="both"/>
        <w:rPr>
          <w:sz w:val="24"/>
          <w:szCs w:val="24"/>
          <w:lang w:val="en-GB"/>
        </w:rPr>
      </w:pPr>
    </w:p>
    <w:p w:rsidR="00936F10" w:rsidRDefault="00936F10" w:rsidP="00936F10">
      <w:pPr>
        <w:spacing w:after="0" w:line="240" w:lineRule="auto"/>
        <w:jc w:val="both"/>
        <w:rPr>
          <w:sz w:val="24"/>
          <w:szCs w:val="24"/>
          <w:lang w:val="en-GB"/>
        </w:rPr>
      </w:pPr>
    </w:p>
    <w:p w:rsidR="00976CFF" w:rsidRPr="00976CFF" w:rsidRDefault="00976CFF" w:rsidP="00976CFF">
      <w:pPr>
        <w:pStyle w:val="Caption"/>
        <w:keepNext/>
        <w:spacing w:after="0"/>
        <w:jc w:val="center"/>
        <w:rPr>
          <w:color w:val="auto"/>
          <w:sz w:val="20"/>
          <w:szCs w:val="20"/>
        </w:rPr>
      </w:pPr>
      <w:bookmarkStart w:id="43" w:name="_Toc377544430"/>
      <w:r w:rsidRPr="00976CFF">
        <w:rPr>
          <w:color w:val="auto"/>
          <w:sz w:val="20"/>
          <w:szCs w:val="20"/>
        </w:rPr>
        <w:t xml:space="preserve">Table </w:t>
      </w:r>
      <w:r w:rsidR="00EF653E" w:rsidRPr="00976CFF">
        <w:rPr>
          <w:color w:val="auto"/>
          <w:sz w:val="20"/>
          <w:szCs w:val="20"/>
        </w:rPr>
        <w:fldChar w:fldCharType="begin"/>
      </w:r>
      <w:r w:rsidRPr="00976CFF">
        <w:rPr>
          <w:color w:val="auto"/>
          <w:sz w:val="20"/>
          <w:szCs w:val="20"/>
        </w:rPr>
        <w:instrText xml:space="preserve"> SEQ Table \* ARABIC </w:instrText>
      </w:r>
      <w:r w:rsidR="00EF653E" w:rsidRPr="00976CFF">
        <w:rPr>
          <w:color w:val="auto"/>
          <w:sz w:val="20"/>
          <w:szCs w:val="20"/>
        </w:rPr>
        <w:fldChar w:fldCharType="separate"/>
      </w:r>
      <w:r w:rsidR="003401C7">
        <w:rPr>
          <w:noProof/>
          <w:color w:val="auto"/>
          <w:sz w:val="20"/>
          <w:szCs w:val="20"/>
        </w:rPr>
        <w:t>5</w:t>
      </w:r>
      <w:r w:rsidR="00EF653E" w:rsidRPr="00976CFF">
        <w:rPr>
          <w:color w:val="auto"/>
          <w:sz w:val="20"/>
          <w:szCs w:val="20"/>
        </w:rPr>
        <w:fldChar w:fldCharType="end"/>
      </w:r>
      <w:r w:rsidRPr="00976CFF">
        <w:rPr>
          <w:color w:val="auto"/>
          <w:sz w:val="20"/>
          <w:szCs w:val="20"/>
          <w:lang w:val="en-GB"/>
        </w:rPr>
        <w:t>: Gasoline consumption in Bahrain between 2000 and 2010 (TJ)</w:t>
      </w:r>
      <w:bookmarkEnd w:id="43"/>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22"/>
        <w:gridCol w:w="2070"/>
      </w:tblGrid>
      <w:tr w:rsidR="00D31078" w:rsidRPr="00370E84" w:rsidTr="002A3DA7">
        <w:trPr>
          <w:trHeight w:val="300"/>
          <w:jc w:val="center"/>
        </w:trPr>
        <w:tc>
          <w:tcPr>
            <w:tcW w:w="0" w:type="auto"/>
            <w:shd w:val="clear" w:color="auto" w:fill="000000" w:themeFill="text1"/>
            <w:vAlign w:val="center"/>
          </w:tcPr>
          <w:p w:rsidR="00D31078" w:rsidRPr="00370E84" w:rsidRDefault="00D31078" w:rsidP="00D31078">
            <w:pPr>
              <w:spacing w:after="0" w:line="240" w:lineRule="auto"/>
              <w:jc w:val="center"/>
              <w:rPr>
                <w:rFonts w:ascii="Calibri" w:eastAsia="Times New Roman" w:hAnsi="Calibri" w:cs="Times New Roman"/>
                <w:b/>
                <w:bCs/>
                <w:color w:val="FFFFFF" w:themeColor="background1"/>
                <w:sz w:val="20"/>
                <w:szCs w:val="20"/>
              </w:rPr>
            </w:pPr>
            <w:r w:rsidRPr="00370E84">
              <w:rPr>
                <w:rFonts w:ascii="Calibri" w:eastAsia="Times New Roman" w:hAnsi="Calibri" w:cs="Times New Roman"/>
                <w:b/>
                <w:bCs/>
                <w:color w:val="FFFFFF" w:themeColor="background1"/>
                <w:sz w:val="20"/>
                <w:szCs w:val="20"/>
              </w:rPr>
              <w:t>Year</w:t>
            </w:r>
          </w:p>
        </w:tc>
        <w:tc>
          <w:tcPr>
            <w:tcW w:w="0" w:type="auto"/>
            <w:shd w:val="clear" w:color="auto" w:fill="000000" w:themeFill="text1"/>
            <w:noWrap/>
            <w:vAlign w:val="center"/>
            <w:hideMark/>
          </w:tcPr>
          <w:p w:rsidR="00D31078" w:rsidRPr="00370E84" w:rsidRDefault="00D31078" w:rsidP="00D31078">
            <w:pPr>
              <w:spacing w:after="0" w:line="240" w:lineRule="auto"/>
              <w:jc w:val="center"/>
              <w:rPr>
                <w:rFonts w:ascii="Calibri" w:eastAsia="Times New Roman" w:hAnsi="Calibri" w:cs="Times New Roman"/>
                <w:b/>
                <w:bCs/>
                <w:color w:val="FFFFFF" w:themeColor="background1"/>
                <w:sz w:val="20"/>
                <w:szCs w:val="20"/>
              </w:rPr>
            </w:pPr>
            <w:r w:rsidRPr="00370E84">
              <w:rPr>
                <w:rFonts w:ascii="Calibri" w:eastAsia="Times New Roman" w:hAnsi="Calibri" w:cs="Times New Roman"/>
                <w:b/>
                <w:bCs/>
                <w:color w:val="FFFFFF" w:themeColor="background1"/>
                <w:sz w:val="20"/>
                <w:szCs w:val="20"/>
              </w:rPr>
              <w:t>Gasoline consumption</w:t>
            </w:r>
          </w:p>
        </w:tc>
      </w:tr>
      <w:tr w:rsidR="00D31078" w:rsidRPr="00D31078" w:rsidTr="002A3DA7">
        <w:trPr>
          <w:trHeight w:val="300"/>
          <w:jc w:val="center"/>
        </w:trPr>
        <w:tc>
          <w:tcPr>
            <w:tcW w:w="0" w:type="auto"/>
            <w:vAlign w:val="center"/>
          </w:tcPr>
          <w:p w:rsidR="00D31078" w:rsidRPr="00936F10" w:rsidRDefault="00D31078" w:rsidP="00D31078">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2000</w:t>
            </w:r>
          </w:p>
        </w:tc>
        <w:tc>
          <w:tcPr>
            <w:tcW w:w="0" w:type="auto"/>
            <w:shd w:val="clear" w:color="auto" w:fill="auto"/>
            <w:noWrap/>
            <w:vAlign w:val="center"/>
            <w:hideMark/>
          </w:tcPr>
          <w:p w:rsidR="00D31078" w:rsidRPr="00D31078" w:rsidRDefault="00D31078" w:rsidP="00D31078">
            <w:pPr>
              <w:spacing w:after="0" w:line="240" w:lineRule="auto"/>
              <w:jc w:val="center"/>
              <w:rPr>
                <w:rFonts w:ascii="Calibri" w:eastAsia="Times New Roman" w:hAnsi="Calibri" w:cs="Times New Roman"/>
                <w:color w:val="000000"/>
                <w:sz w:val="20"/>
                <w:szCs w:val="20"/>
              </w:rPr>
            </w:pPr>
            <w:r w:rsidRPr="00D31078">
              <w:rPr>
                <w:rFonts w:ascii="Calibri" w:eastAsia="Times New Roman" w:hAnsi="Calibri" w:cs="Times New Roman"/>
                <w:color w:val="000000"/>
                <w:sz w:val="20"/>
                <w:szCs w:val="20"/>
              </w:rPr>
              <w:t>3014350</w:t>
            </w:r>
          </w:p>
        </w:tc>
      </w:tr>
      <w:tr w:rsidR="00D31078" w:rsidRPr="00D31078" w:rsidTr="002A3DA7">
        <w:trPr>
          <w:trHeight w:val="300"/>
          <w:jc w:val="center"/>
        </w:trPr>
        <w:tc>
          <w:tcPr>
            <w:tcW w:w="0" w:type="auto"/>
            <w:vAlign w:val="center"/>
          </w:tcPr>
          <w:p w:rsidR="00D31078" w:rsidRPr="00936F10" w:rsidRDefault="00D31078" w:rsidP="00D31078">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2001</w:t>
            </w:r>
          </w:p>
        </w:tc>
        <w:tc>
          <w:tcPr>
            <w:tcW w:w="0" w:type="auto"/>
            <w:shd w:val="clear" w:color="auto" w:fill="auto"/>
            <w:noWrap/>
            <w:vAlign w:val="center"/>
            <w:hideMark/>
          </w:tcPr>
          <w:p w:rsidR="00D31078" w:rsidRPr="00D31078" w:rsidRDefault="00D31078" w:rsidP="00D31078">
            <w:pPr>
              <w:spacing w:after="0" w:line="240" w:lineRule="auto"/>
              <w:jc w:val="center"/>
              <w:rPr>
                <w:rFonts w:ascii="Calibri" w:eastAsia="Times New Roman" w:hAnsi="Calibri" w:cs="Times New Roman"/>
                <w:color w:val="000000"/>
                <w:sz w:val="20"/>
                <w:szCs w:val="20"/>
              </w:rPr>
            </w:pPr>
            <w:r w:rsidRPr="00D31078">
              <w:rPr>
                <w:rFonts w:ascii="Calibri" w:eastAsia="Times New Roman" w:hAnsi="Calibri" w:cs="Times New Roman"/>
                <w:color w:val="000000"/>
                <w:sz w:val="20"/>
                <w:szCs w:val="20"/>
              </w:rPr>
              <w:t>3143120</w:t>
            </w:r>
          </w:p>
        </w:tc>
      </w:tr>
      <w:tr w:rsidR="00D31078" w:rsidRPr="00D31078" w:rsidTr="002A3DA7">
        <w:trPr>
          <w:trHeight w:val="300"/>
          <w:jc w:val="center"/>
        </w:trPr>
        <w:tc>
          <w:tcPr>
            <w:tcW w:w="0" w:type="auto"/>
            <w:vAlign w:val="center"/>
          </w:tcPr>
          <w:p w:rsidR="00D31078" w:rsidRPr="00936F10" w:rsidRDefault="00D31078" w:rsidP="00D31078">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2002</w:t>
            </w:r>
          </w:p>
        </w:tc>
        <w:tc>
          <w:tcPr>
            <w:tcW w:w="0" w:type="auto"/>
            <w:shd w:val="clear" w:color="auto" w:fill="auto"/>
            <w:noWrap/>
            <w:vAlign w:val="center"/>
            <w:hideMark/>
          </w:tcPr>
          <w:p w:rsidR="00D31078" w:rsidRPr="00D31078" w:rsidRDefault="00D31078" w:rsidP="00D31078">
            <w:pPr>
              <w:spacing w:after="0" w:line="240" w:lineRule="auto"/>
              <w:jc w:val="center"/>
              <w:rPr>
                <w:rFonts w:ascii="Calibri" w:eastAsia="Times New Roman" w:hAnsi="Calibri" w:cs="Times New Roman"/>
                <w:color w:val="000000"/>
                <w:sz w:val="20"/>
                <w:szCs w:val="20"/>
              </w:rPr>
            </w:pPr>
            <w:r w:rsidRPr="00D31078">
              <w:rPr>
                <w:rFonts w:ascii="Calibri" w:eastAsia="Times New Roman" w:hAnsi="Calibri" w:cs="Times New Roman"/>
                <w:color w:val="000000"/>
                <w:sz w:val="20"/>
                <w:szCs w:val="20"/>
              </w:rPr>
              <w:t>3429410</w:t>
            </w:r>
          </w:p>
        </w:tc>
      </w:tr>
      <w:tr w:rsidR="00D31078" w:rsidRPr="00D31078" w:rsidTr="002A3DA7">
        <w:trPr>
          <w:trHeight w:val="300"/>
          <w:jc w:val="center"/>
        </w:trPr>
        <w:tc>
          <w:tcPr>
            <w:tcW w:w="0" w:type="auto"/>
            <w:vAlign w:val="center"/>
          </w:tcPr>
          <w:p w:rsidR="00D31078" w:rsidRPr="00936F10" w:rsidRDefault="00D31078" w:rsidP="00D31078">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2003</w:t>
            </w:r>
          </w:p>
        </w:tc>
        <w:tc>
          <w:tcPr>
            <w:tcW w:w="0" w:type="auto"/>
            <w:shd w:val="clear" w:color="auto" w:fill="auto"/>
            <w:noWrap/>
            <w:vAlign w:val="center"/>
            <w:hideMark/>
          </w:tcPr>
          <w:p w:rsidR="00D31078" w:rsidRPr="00D31078" w:rsidRDefault="00D31078" w:rsidP="00D31078">
            <w:pPr>
              <w:spacing w:after="0" w:line="240" w:lineRule="auto"/>
              <w:jc w:val="center"/>
              <w:rPr>
                <w:rFonts w:ascii="Calibri" w:eastAsia="Times New Roman" w:hAnsi="Calibri" w:cs="Times New Roman"/>
                <w:color w:val="000000"/>
                <w:sz w:val="20"/>
                <w:szCs w:val="20"/>
              </w:rPr>
            </w:pPr>
            <w:r w:rsidRPr="00D31078">
              <w:rPr>
                <w:rFonts w:ascii="Calibri" w:eastAsia="Times New Roman" w:hAnsi="Calibri" w:cs="Times New Roman"/>
                <w:color w:val="000000"/>
                <w:sz w:val="20"/>
                <w:szCs w:val="20"/>
              </w:rPr>
              <w:t>3639380</w:t>
            </w:r>
          </w:p>
        </w:tc>
      </w:tr>
      <w:tr w:rsidR="00D31078" w:rsidRPr="00D31078" w:rsidTr="002A3DA7">
        <w:trPr>
          <w:trHeight w:val="300"/>
          <w:jc w:val="center"/>
        </w:trPr>
        <w:tc>
          <w:tcPr>
            <w:tcW w:w="0" w:type="auto"/>
            <w:vAlign w:val="center"/>
          </w:tcPr>
          <w:p w:rsidR="00D31078" w:rsidRPr="00936F10" w:rsidRDefault="00D31078" w:rsidP="00D31078">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2004</w:t>
            </w:r>
          </w:p>
        </w:tc>
        <w:tc>
          <w:tcPr>
            <w:tcW w:w="0" w:type="auto"/>
            <w:shd w:val="clear" w:color="auto" w:fill="auto"/>
            <w:noWrap/>
            <w:vAlign w:val="center"/>
            <w:hideMark/>
          </w:tcPr>
          <w:p w:rsidR="00D31078" w:rsidRPr="00D31078" w:rsidRDefault="00D31078" w:rsidP="00D31078">
            <w:pPr>
              <w:spacing w:after="0" w:line="240" w:lineRule="auto"/>
              <w:jc w:val="center"/>
              <w:rPr>
                <w:rFonts w:ascii="Calibri" w:eastAsia="Times New Roman" w:hAnsi="Calibri" w:cs="Times New Roman"/>
                <w:color w:val="000000"/>
                <w:sz w:val="20"/>
                <w:szCs w:val="20"/>
              </w:rPr>
            </w:pPr>
            <w:r w:rsidRPr="00D31078">
              <w:rPr>
                <w:rFonts w:ascii="Calibri" w:eastAsia="Times New Roman" w:hAnsi="Calibri" w:cs="Times New Roman"/>
                <w:color w:val="000000"/>
                <w:sz w:val="20"/>
                <w:szCs w:val="20"/>
              </w:rPr>
              <w:t>3837740</w:t>
            </w:r>
          </w:p>
        </w:tc>
      </w:tr>
      <w:tr w:rsidR="00D31078" w:rsidRPr="00D31078" w:rsidTr="002A3DA7">
        <w:trPr>
          <w:trHeight w:val="300"/>
          <w:jc w:val="center"/>
        </w:trPr>
        <w:tc>
          <w:tcPr>
            <w:tcW w:w="0" w:type="auto"/>
            <w:vAlign w:val="center"/>
          </w:tcPr>
          <w:p w:rsidR="00D31078" w:rsidRPr="00936F10" w:rsidRDefault="00D31078" w:rsidP="00D31078">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2005</w:t>
            </w:r>
          </w:p>
        </w:tc>
        <w:tc>
          <w:tcPr>
            <w:tcW w:w="0" w:type="auto"/>
            <w:shd w:val="clear" w:color="auto" w:fill="auto"/>
            <w:noWrap/>
            <w:vAlign w:val="center"/>
            <w:hideMark/>
          </w:tcPr>
          <w:p w:rsidR="00D31078" w:rsidRPr="00D31078" w:rsidRDefault="00D31078" w:rsidP="00D31078">
            <w:pPr>
              <w:spacing w:after="0" w:line="240" w:lineRule="auto"/>
              <w:jc w:val="center"/>
              <w:rPr>
                <w:rFonts w:ascii="Calibri" w:eastAsia="Times New Roman" w:hAnsi="Calibri" w:cs="Times New Roman"/>
                <w:color w:val="000000"/>
                <w:sz w:val="20"/>
                <w:szCs w:val="20"/>
              </w:rPr>
            </w:pPr>
            <w:r w:rsidRPr="00D31078">
              <w:rPr>
                <w:rFonts w:ascii="Calibri" w:eastAsia="Times New Roman" w:hAnsi="Calibri" w:cs="Times New Roman"/>
                <w:color w:val="000000"/>
                <w:sz w:val="20"/>
                <w:szCs w:val="20"/>
              </w:rPr>
              <w:t>3933800</w:t>
            </w:r>
          </w:p>
        </w:tc>
      </w:tr>
      <w:tr w:rsidR="00D31078" w:rsidRPr="00D31078" w:rsidTr="002A3DA7">
        <w:trPr>
          <w:trHeight w:val="300"/>
          <w:jc w:val="center"/>
        </w:trPr>
        <w:tc>
          <w:tcPr>
            <w:tcW w:w="0" w:type="auto"/>
            <w:vAlign w:val="center"/>
          </w:tcPr>
          <w:p w:rsidR="00D31078" w:rsidRPr="00936F10" w:rsidRDefault="00D31078" w:rsidP="00D31078">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2006</w:t>
            </w:r>
          </w:p>
        </w:tc>
        <w:tc>
          <w:tcPr>
            <w:tcW w:w="0" w:type="auto"/>
            <w:shd w:val="clear" w:color="auto" w:fill="auto"/>
            <w:noWrap/>
            <w:vAlign w:val="center"/>
            <w:hideMark/>
          </w:tcPr>
          <w:p w:rsidR="00D31078" w:rsidRPr="00D31078" w:rsidRDefault="00D31078" w:rsidP="00D31078">
            <w:pPr>
              <w:spacing w:after="0" w:line="240" w:lineRule="auto"/>
              <w:jc w:val="center"/>
              <w:rPr>
                <w:rFonts w:ascii="Calibri" w:eastAsia="Times New Roman" w:hAnsi="Calibri" w:cs="Times New Roman"/>
                <w:color w:val="000000"/>
                <w:sz w:val="20"/>
                <w:szCs w:val="20"/>
              </w:rPr>
            </w:pPr>
            <w:r w:rsidRPr="00D31078">
              <w:rPr>
                <w:rFonts w:ascii="Calibri" w:eastAsia="Times New Roman" w:hAnsi="Calibri" w:cs="Times New Roman"/>
                <w:color w:val="000000"/>
                <w:sz w:val="20"/>
                <w:szCs w:val="20"/>
              </w:rPr>
              <w:t>4232630</w:t>
            </w:r>
          </w:p>
        </w:tc>
      </w:tr>
      <w:tr w:rsidR="00D31078" w:rsidRPr="00D31078" w:rsidTr="002A3DA7">
        <w:trPr>
          <w:trHeight w:val="300"/>
          <w:jc w:val="center"/>
        </w:trPr>
        <w:tc>
          <w:tcPr>
            <w:tcW w:w="0" w:type="auto"/>
            <w:vAlign w:val="center"/>
          </w:tcPr>
          <w:p w:rsidR="00D31078" w:rsidRPr="00936F10" w:rsidRDefault="00D31078" w:rsidP="00D31078">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2007</w:t>
            </w:r>
          </w:p>
        </w:tc>
        <w:tc>
          <w:tcPr>
            <w:tcW w:w="0" w:type="auto"/>
            <w:shd w:val="clear" w:color="auto" w:fill="auto"/>
            <w:noWrap/>
            <w:vAlign w:val="center"/>
            <w:hideMark/>
          </w:tcPr>
          <w:p w:rsidR="00D31078" w:rsidRPr="00D31078" w:rsidRDefault="00D31078" w:rsidP="00D31078">
            <w:pPr>
              <w:spacing w:after="0" w:line="240" w:lineRule="auto"/>
              <w:jc w:val="center"/>
              <w:rPr>
                <w:rFonts w:ascii="Calibri" w:eastAsia="Times New Roman" w:hAnsi="Calibri" w:cs="Times New Roman"/>
                <w:color w:val="000000"/>
                <w:sz w:val="20"/>
                <w:szCs w:val="20"/>
              </w:rPr>
            </w:pPr>
            <w:r w:rsidRPr="00D31078">
              <w:rPr>
                <w:rFonts w:ascii="Calibri" w:eastAsia="Times New Roman" w:hAnsi="Calibri" w:cs="Times New Roman"/>
                <w:color w:val="000000"/>
                <w:sz w:val="20"/>
                <w:szCs w:val="20"/>
              </w:rPr>
              <w:t>4303160</w:t>
            </w:r>
          </w:p>
        </w:tc>
      </w:tr>
      <w:tr w:rsidR="00D31078" w:rsidRPr="00D31078" w:rsidTr="002A3DA7">
        <w:trPr>
          <w:trHeight w:val="300"/>
          <w:jc w:val="center"/>
        </w:trPr>
        <w:tc>
          <w:tcPr>
            <w:tcW w:w="0" w:type="auto"/>
            <w:vAlign w:val="center"/>
          </w:tcPr>
          <w:p w:rsidR="00D31078" w:rsidRPr="00936F10" w:rsidRDefault="00D31078" w:rsidP="00D31078">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2008</w:t>
            </w:r>
          </w:p>
        </w:tc>
        <w:tc>
          <w:tcPr>
            <w:tcW w:w="0" w:type="auto"/>
            <w:shd w:val="clear" w:color="auto" w:fill="auto"/>
            <w:noWrap/>
            <w:vAlign w:val="center"/>
            <w:hideMark/>
          </w:tcPr>
          <w:p w:rsidR="00D31078" w:rsidRPr="00D31078" w:rsidRDefault="00D31078" w:rsidP="00D31078">
            <w:pPr>
              <w:spacing w:after="0" w:line="240" w:lineRule="auto"/>
              <w:jc w:val="center"/>
              <w:rPr>
                <w:rFonts w:ascii="Calibri" w:eastAsia="Times New Roman" w:hAnsi="Calibri" w:cs="Times New Roman"/>
                <w:color w:val="000000"/>
                <w:sz w:val="20"/>
                <w:szCs w:val="20"/>
              </w:rPr>
            </w:pPr>
            <w:r w:rsidRPr="00D31078">
              <w:rPr>
                <w:rFonts w:ascii="Calibri" w:eastAsia="Times New Roman" w:hAnsi="Calibri" w:cs="Times New Roman"/>
                <w:color w:val="000000"/>
                <w:sz w:val="20"/>
                <w:szCs w:val="20"/>
              </w:rPr>
              <w:t>4681990</w:t>
            </w:r>
          </w:p>
        </w:tc>
      </w:tr>
      <w:tr w:rsidR="00D31078" w:rsidRPr="00D31078" w:rsidTr="002A3DA7">
        <w:trPr>
          <w:trHeight w:val="300"/>
          <w:jc w:val="center"/>
        </w:trPr>
        <w:tc>
          <w:tcPr>
            <w:tcW w:w="0" w:type="auto"/>
            <w:vAlign w:val="center"/>
          </w:tcPr>
          <w:p w:rsidR="00D31078" w:rsidRPr="00936F10" w:rsidRDefault="00D31078" w:rsidP="00D31078">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2009</w:t>
            </w:r>
          </w:p>
        </w:tc>
        <w:tc>
          <w:tcPr>
            <w:tcW w:w="0" w:type="auto"/>
            <w:shd w:val="clear" w:color="auto" w:fill="auto"/>
            <w:noWrap/>
            <w:vAlign w:val="center"/>
            <w:hideMark/>
          </w:tcPr>
          <w:p w:rsidR="00D31078" w:rsidRPr="00D31078" w:rsidRDefault="00D31078" w:rsidP="00D31078">
            <w:pPr>
              <w:spacing w:after="0" w:line="240" w:lineRule="auto"/>
              <w:jc w:val="center"/>
              <w:rPr>
                <w:rFonts w:ascii="Calibri" w:eastAsia="Times New Roman" w:hAnsi="Calibri" w:cs="Times New Roman"/>
                <w:color w:val="000000"/>
                <w:sz w:val="20"/>
                <w:szCs w:val="20"/>
              </w:rPr>
            </w:pPr>
            <w:r w:rsidRPr="00D31078">
              <w:rPr>
                <w:rFonts w:ascii="Calibri" w:eastAsia="Times New Roman" w:hAnsi="Calibri" w:cs="Times New Roman"/>
                <w:color w:val="000000"/>
                <w:sz w:val="20"/>
                <w:szCs w:val="20"/>
              </w:rPr>
              <w:t>4945000</w:t>
            </w:r>
          </w:p>
        </w:tc>
      </w:tr>
      <w:tr w:rsidR="00D31078" w:rsidRPr="00D31078" w:rsidTr="002A3DA7">
        <w:trPr>
          <w:trHeight w:val="300"/>
          <w:jc w:val="center"/>
        </w:trPr>
        <w:tc>
          <w:tcPr>
            <w:tcW w:w="0" w:type="auto"/>
            <w:vAlign w:val="center"/>
          </w:tcPr>
          <w:p w:rsidR="00D31078" w:rsidRPr="00936F10" w:rsidRDefault="00D31078" w:rsidP="00D31078">
            <w:pPr>
              <w:spacing w:after="0" w:line="240" w:lineRule="auto"/>
              <w:jc w:val="center"/>
              <w:rPr>
                <w:rFonts w:eastAsia="Times New Roman" w:cs="Times New Roman"/>
                <w:color w:val="000000"/>
                <w:sz w:val="20"/>
                <w:szCs w:val="20"/>
              </w:rPr>
            </w:pPr>
            <w:r w:rsidRPr="00936F10">
              <w:rPr>
                <w:rFonts w:eastAsia="Times New Roman" w:cs="Times New Roman"/>
                <w:color w:val="000000"/>
                <w:sz w:val="20"/>
                <w:szCs w:val="20"/>
              </w:rPr>
              <w:t>2010</w:t>
            </w:r>
          </w:p>
        </w:tc>
        <w:tc>
          <w:tcPr>
            <w:tcW w:w="0" w:type="auto"/>
            <w:shd w:val="clear" w:color="auto" w:fill="auto"/>
            <w:noWrap/>
            <w:vAlign w:val="center"/>
            <w:hideMark/>
          </w:tcPr>
          <w:p w:rsidR="00D31078" w:rsidRPr="00D31078" w:rsidRDefault="00D31078" w:rsidP="00D31078">
            <w:pPr>
              <w:spacing w:after="0" w:line="240" w:lineRule="auto"/>
              <w:jc w:val="center"/>
              <w:rPr>
                <w:rFonts w:ascii="Calibri" w:eastAsia="Times New Roman" w:hAnsi="Calibri" w:cs="Times New Roman"/>
                <w:color w:val="000000"/>
                <w:sz w:val="20"/>
                <w:szCs w:val="20"/>
              </w:rPr>
            </w:pPr>
            <w:r w:rsidRPr="00D31078">
              <w:rPr>
                <w:rFonts w:ascii="Calibri" w:eastAsia="Times New Roman" w:hAnsi="Calibri" w:cs="Times New Roman"/>
                <w:color w:val="000000"/>
                <w:sz w:val="20"/>
                <w:szCs w:val="20"/>
              </w:rPr>
              <w:t>5157350</w:t>
            </w:r>
          </w:p>
        </w:tc>
      </w:tr>
    </w:tbl>
    <w:p w:rsidR="00976CFF" w:rsidRPr="00820B56" w:rsidRDefault="00976CFF" w:rsidP="00976CFF">
      <w:pPr>
        <w:spacing w:after="0" w:line="240" w:lineRule="auto"/>
        <w:jc w:val="center"/>
        <w:rPr>
          <w:rFonts w:cs="Times New Roman"/>
          <w:sz w:val="20"/>
          <w:szCs w:val="20"/>
        </w:rPr>
      </w:pPr>
      <w:r w:rsidRPr="00820B56">
        <w:rPr>
          <w:rFonts w:cs="Times New Roman"/>
          <w:sz w:val="20"/>
          <w:szCs w:val="20"/>
        </w:rPr>
        <w:t>Source: BAPCO, 2010</w:t>
      </w:r>
    </w:p>
    <w:p w:rsidR="00D31078" w:rsidRDefault="00D31078" w:rsidP="00936F10">
      <w:pPr>
        <w:spacing w:after="0" w:line="240" w:lineRule="auto"/>
        <w:jc w:val="both"/>
        <w:rPr>
          <w:sz w:val="24"/>
          <w:szCs w:val="24"/>
          <w:lang w:val="en-GB"/>
        </w:rPr>
      </w:pPr>
    </w:p>
    <w:p w:rsidR="00A52DA5" w:rsidRPr="00A52DA5" w:rsidRDefault="00A52DA5" w:rsidP="00A52DA5">
      <w:pPr>
        <w:pStyle w:val="Caption"/>
        <w:keepNext/>
        <w:spacing w:after="0"/>
        <w:jc w:val="center"/>
        <w:rPr>
          <w:color w:val="000000" w:themeColor="text1"/>
          <w:sz w:val="20"/>
          <w:szCs w:val="20"/>
        </w:rPr>
      </w:pPr>
      <w:bookmarkStart w:id="44" w:name="_Toc377544431"/>
      <w:r w:rsidRPr="00A52DA5">
        <w:rPr>
          <w:color w:val="000000" w:themeColor="text1"/>
          <w:sz w:val="20"/>
          <w:szCs w:val="20"/>
        </w:rPr>
        <w:t xml:space="preserve">Table </w:t>
      </w:r>
      <w:r w:rsidR="00EF653E" w:rsidRPr="00A52DA5">
        <w:rPr>
          <w:color w:val="000000" w:themeColor="text1"/>
          <w:sz w:val="20"/>
          <w:szCs w:val="20"/>
        </w:rPr>
        <w:fldChar w:fldCharType="begin"/>
      </w:r>
      <w:r w:rsidRPr="00A52DA5">
        <w:rPr>
          <w:color w:val="000000" w:themeColor="text1"/>
          <w:sz w:val="20"/>
          <w:szCs w:val="20"/>
        </w:rPr>
        <w:instrText xml:space="preserve"> SEQ Table \* ARABIC </w:instrText>
      </w:r>
      <w:r w:rsidR="00EF653E" w:rsidRPr="00A52DA5">
        <w:rPr>
          <w:color w:val="000000" w:themeColor="text1"/>
          <w:sz w:val="20"/>
          <w:szCs w:val="20"/>
        </w:rPr>
        <w:fldChar w:fldCharType="separate"/>
      </w:r>
      <w:r w:rsidR="003401C7">
        <w:rPr>
          <w:noProof/>
          <w:color w:val="000000" w:themeColor="text1"/>
          <w:sz w:val="20"/>
          <w:szCs w:val="20"/>
        </w:rPr>
        <w:t>6</w:t>
      </w:r>
      <w:r w:rsidR="00EF653E" w:rsidRPr="00A52DA5">
        <w:rPr>
          <w:color w:val="000000" w:themeColor="text1"/>
          <w:sz w:val="20"/>
          <w:szCs w:val="20"/>
        </w:rPr>
        <w:fldChar w:fldCharType="end"/>
      </w:r>
      <w:r w:rsidRPr="00A52DA5">
        <w:rPr>
          <w:color w:val="000000" w:themeColor="text1"/>
          <w:sz w:val="20"/>
          <w:szCs w:val="20"/>
          <w:lang w:val="en-GB"/>
        </w:rPr>
        <w:t>: Total number of registered vehicles in Bahrain between 2000 and 2012</w:t>
      </w:r>
      <w:bookmarkEnd w:id="44"/>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22"/>
        <w:gridCol w:w="1607"/>
      </w:tblGrid>
      <w:tr w:rsidR="00A52DA5" w:rsidRPr="00A52DA5" w:rsidTr="002A3DA7">
        <w:trPr>
          <w:trHeight w:val="300"/>
          <w:jc w:val="center"/>
        </w:trPr>
        <w:tc>
          <w:tcPr>
            <w:tcW w:w="0" w:type="auto"/>
            <w:shd w:val="clear" w:color="auto" w:fill="000000" w:themeFill="text1"/>
            <w:noWrap/>
            <w:vAlign w:val="center"/>
            <w:hideMark/>
          </w:tcPr>
          <w:p w:rsidR="00A52DA5" w:rsidRPr="00A52DA5" w:rsidRDefault="00A52DA5" w:rsidP="00A52DA5">
            <w:pPr>
              <w:spacing w:after="0" w:line="240" w:lineRule="auto"/>
              <w:jc w:val="center"/>
              <w:rPr>
                <w:rFonts w:ascii="Calibri" w:eastAsia="Times New Roman" w:hAnsi="Calibri" w:cs="Times New Roman"/>
                <w:b/>
                <w:bCs/>
                <w:color w:val="FFFFFF" w:themeColor="background1"/>
                <w:sz w:val="20"/>
                <w:szCs w:val="20"/>
              </w:rPr>
            </w:pPr>
            <w:r w:rsidRPr="00A52DA5">
              <w:rPr>
                <w:rFonts w:ascii="Calibri" w:eastAsia="Times New Roman" w:hAnsi="Calibri" w:cs="Times New Roman"/>
                <w:b/>
                <w:bCs/>
                <w:color w:val="FFFFFF" w:themeColor="background1"/>
                <w:sz w:val="20"/>
                <w:szCs w:val="20"/>
              </w:rPr>
              <w:t>Year</w:t>
            </w:r>
          </w:p>
        </w:tc>
        <w:tc>
          <w:tcPr>
            <w:tcW w:w="0" w:type="auto"/>
            <w:shd w:val="clear" w:color="auto" w:fill="000000" w:themeFill="text1"/>
            <w:noWrap/>
            <w:vAlign w:val="center"/>
            <w:hideMark/>
          </w:tcPr>
          <w:p w:rsidR="00A52DA5" w:rsidRPr="00A52DA5" w:rsidRDefault="00A52DA5" w:rsidP="00A52DA5">
            <w:pPr>
              <w:spacing w:after="0" w:line="240" w:lineRule="auto"/>
              <w:jc w:val="center"/>
              <w:rPr>
                <w:rFonts w:ascii="Calibri" w:eastAsia="Times New Roman" w:hAnsi="Calibri" w:cs="Times New Roman"/>
                <w:b/>
                <w:bCs/>
                <w:color w:val="FFFFFF" w:themeColor="background1"/>
                <w:sz w:val="20"/>
                <w:szCs w:val="20"/>
              </w:rPr>
            </w:pPr>
            <w:r w:rsidRPr="00A52DA5">
              <w:rPr>
                <w:rFonts w:ascii="Calibri" w:eastAsia="Times New Roman" w:hAnsi="Calibri" w:cs="Times New Roman"/>
                <w:b/>
                <w:bCs/>
                <w:color w:val="FFFFFF" w:themeColor="background1"/>
                <w:sz w:val="20"/>
                <w:szCs w:val="20"/>
              </w:rPr>
              <w:t>Vehicles number</w:t>
            </w:r>
          </w:p>
        </w:tc>
      </w:tr>
      <w:tr w:rsidR="00A52DA5" w:rsidRPr="00A52DA5" w:rsidTr="002A3DA7">
        <w:trPr>
          <w:trHeight w:val="300"/>
          <w:jc w:val="center"/>
        </w:trPr>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2000</w:t>
            </w:r>
          </w:p>
        </w:tc>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216679</w:t>
            </w:r>
          </w:p>
        </w:tc>
      </w:tr>
      <w:tr w:rsidR="00A52DA5" w:rsidRPr="00A52DA5" w:rsidTr="002A3DA7">
        <w:trPr>
          <w:trHeight w:val="300"/>
          <w:jc w:val="center"/>
        </w:trPr>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2001</w:t>
            </w:r>
          </w:p>
        </w:tc>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229780</w:t>
            </w:r>
          </w:p>
        </w:tc>
      </w:tr>
      <w:tr w:rsidR="00A52DA5" w:rsidRPr="00A52DA5" w:rsidTr="002A3DA7">
        <w:trPr>
          <w:trHeight w:val="300"/>
          <w:jc w:val="center"/>
        </w:trPr>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2002</w:t>
            </w:r>
          </w:p>
        </w:tc>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250978</w:t>
            </w:r>
          </w:p>
        </w:tc>
      </w:tr>
      <w:tr w:rsidR="00A52DA5" w:rsidRPr="00A52DA5" w:rsidTr="002A3DA7">
        <w:trPr>
          <w:trHeight w:val="300"/>
          <w:jc w:val="center"/>
        </w:trPr>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2003</w:t>
            </w:r>
          </w:p>
        </w:tc>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273230</w:t>
            </w:r>
          </w:p>
        </w:tc>
      </w:tr>
      <w:tr w:rsidR="00A52DA5" w:rsidRPr="00A52DA5" w:rsidTr="002A3DA7">
        <w:trPr>
          <w:trHeight w:val="300"/>
          <w:jc w:val="center"/>
        </w:trPr>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2004</w:t>
            </w:r>
          </w:p>
        </w:tc>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293801</w:t>
            </w:r>
          </w:p>
        </w:tc>
      </w:tr>
      <w:tr w:rsidR="00A52DA5" w:rsidRPr="00A52DA5" w:rsidTr="002A3DA7">
        <w:trPr>
          <w:trHeight w:val="300"/>
          <w:jc w:val="center"/>
        </w:trPr>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2005</w:t>
            </w:r>
          </w:p>
        </w:tc>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314033</w:t>
            </w:r>
          </w:p>
        </w:tc>
      </w:tr>
      <w:tr w:rsidR="00A52DA5" w:rsidRPr="00A52DA5" w:rsidTr="002A3DA7">
        <w:trPr>
          <w:trHeight w:val="300"/>
          <w:jc w:val="center"/>
        </w:trPr>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lastRenderedPageBreak/>
              <w:t>2006</w:t>
            </w:r>
          </w:p>
        </w:tc>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337545</w:t>
            </w:r>
          </w:p>
        </w:tc>
      </w:tr>
      <w:tr w:rsidR="00A52DA5" w:rsidRPr="00A52DA5" w:rsidTr="002A3DA7">
        <w:trPr>
          <w:trHeight w:val="300"/>
          <w:jc w:val="center"/>
        </w:trPr>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2007</w:t>
            </w:r>
          </w:p>
        </w:tc>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366732</w:t>
            </w:r>
          </w:p>
        </w:tc>
      </w:tr>
      <w:tr w:rsidR="00A52DA5" w:rsidRPr="00A52DA5" w:rsidTr="002A3DA7">
        <w:trPr>
          <w:trHeight w:val="300"/>
          <w:jc w:val="center"/>
        </w:trPr>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2008</w:t>
            </w:r>
          </w:p>
        </w:tc>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399546</w:t>
            </w:r>
          </w:p>
        </w:tc>
      </w:tr>
      <w:tr w:rsidR="00A52DA5" w:rsidRPr="00A52DA5" w:rsidTr="002A3DA7">
        <w:trPr>
          <w:trHeight w:val="300"/>
          <w:jc w:val="center"/>
        </w:trPr>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2009</w:t>
            </w:r>
          </w:p>
        </w:tc>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428957</w:t>
            </w:r>
          </w:p>
        </w:tc>
      </w:tr>
      <w:tr w:rsidR="00A52DA5" w:rsidRPr="00A52DA5" w:rsidTr="002A3DA7">
        <w:trPr>
          <w:trHeight w:val="300"/>
          <w:jc w:val="center"/>
        </w:trPr>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2010</w:t>
            </w:r>
          </w:p>
        </w:tc>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452222</w:t>
            </w:r>
          </w:p>
        </w:tc>
      </w:tr>
      <w:tr w:rsidR="00A52DA5" w:rsidRPr="00A52DA5" w:rsidTr="002A3DA7">
        <w:trPr>
          <w:trHeight w:val="300"/>
          <w:jc w:val="center"/>
        </w:trPr>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2011</w:t>
            </w:r>
          </w:p>
        </w:tc>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475150</w:t>
            </w:r>
          </w:p>
        </w:tc>
      </w:tr>
      <w:tr w:rsidR="00A52DA5" w:rsidRPr="00A52DA5" w:rsidTr="002A3DA7">
        <w:trPr>
          <w:trHeight w:val="300"/>
          <w:jc w:val="center"/>
        </w:trPr>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2012</w:t>
            </w:r>
          </w:p>
        </w:tc>
        <w:tc>
          <w:tcPr>
            <w:tcW w:w="0" w:type="auto"/>
            <w:shd w:val="clear" w:color="auto" w:fill="auto"/>
            <w:noWrap/>
            <w:vAlign w:val="center"/>
            <w:hideMark/>
          </w:tcPr>
          <w:p w:rsidR="00A52DA5" w:rsidRPr="00A52DA5" w:rsidRDefault="00A52DA5" w:rsidP="00A52DA5">
            <w:pPr>
              <w:spacing w:after="0" w:line="240" w:lineRule="auto"/>
              <w:jc w:val="center"/>
              <w:rPr>
                <w:rFonts w:ascii="Calibri" w:eastAsia="Times New Roman" w:hAnsi="Calibri" w:cs="Times New Roman"/>
                <w:color w:val="000000"/>
                <w:sz w:val="20"/>
                <w:szCs w:val="20"/>
              </w:rPr>
            </w:pPr>
            <w:r w:rsidRPr="00A52DA5">
              <w:rPr>
                <w:rFonts w:ascii="Calibri" w:eastAsia="Times New Roman" w:hAnsi="Calibri" w:cs="Times New Roman"/>
                <w:color w:val="000000"/>
                <w:sz w:val="20"/>
                <w:szCs w:val="20"/>
              </w:rPr>
              <w:t>501481</w:t>
            </w:r>
          </w:p>
        </w:tc>
      </w:tr>
    </w:tbl>
    <w:p w:rsidR="00A52DA5" w:rsidRPr="00820B56" w:rsidRDefault="00A52DA5" w:rsidP="00A52DA5">
      <w:pPr>
        <w:spacing w:after="0" w:line="240" w:lineRule="auto"/>
        <w:jc w:val="center"/>
        <w:rPr>
          <w:rFonts w:cs="Times New Roman"/>
          <w:sz w:val="20"/>
          <w:szCs w:val="20"/>
        </w:rPr>
      </w:pPr>
      <w:r w:rsidRPr="00820B56">
        <w:rPr>
          <w:rFonts w:cs="Times New Roman"/>
          <w:sz w:val="20"/>
          <w:szCs w:val="20"/>
        </w:rPr>
        <w:t>Source: General Directorate of Traffic, 2012</w:t>
      </w:r>
    </w:p>
    <w:p w:rsidR="00A52DA5" w:rsidRDefault="00A52DA5" w:rsidP="00936F10">
      <w:pPr>
        <w:spacing w:after="0" w:line="240" w:lineRule="auto"/>
        <w:jc w:val="both"/>
        <w:rPr>
          <w:sz w:val="24"/>
          <w:szCs w:val="24"/>
        </w:rPr>
      </w:pPr>
    </w:p>
    <w:p w:rsidR="00F818BD" w:rsidRPr="00F818BD" w:rsidRDefault="00F818BD" w:rsidP="00F818BD">
      <w:pPr>
        <w:pStyle w:val="Caption"/>
        <w:keepNext/>
        <w:spacing w:after="0"/>
        <w:jc w:val="center"/>
        <w:rPr>
          <w:color w:val="auto"/>
          <w:sz w:val="20"/>
          <w:szCs w:val="20"/>
        </w:rPr>
      </w:pPr>
      <w:bookmarkStart w:id="45" w:name="_Toc377544432"/>
      <w:r w:rsidRPr="00F818BD">
        <w:rPr>
          <w:color w:val="auto"/>
          <w:sz w:val="20"/>
          <w:szCs w:val="20"/>
        </w:rPr>
        <w:t xml:space="preserve">Table </w:t>
      </w:r>
      <w:r w:rsidR="00EF653E" w:rsidRPr="00F818BD">
        <w:rPr>
          <w:color w:val="auto"/>
          <w:sz w:val="20"/>
          <w:szCs w:val="20"/>
        </w:rPr>
        <w:fldChar w:fldCharType="begin"/>
      </w:r>
      <w:r w:rsidRPr="00F818BD">
        <w:rPr>
          <w:color w:val="auto"/>
          <w:sz w:val="20"/>
          <w:szCs w:val="20"/>
        </w:rPr>
        <w:instrText xml:space="preserve"> SEQ Table \* ARABIC </w:instrText>
      </w:r>
      <w:r w:rsidR="00EF653E" w:rsidRPr="00F818BD">
        <w:rPr>
          <w:color w:val="auto"/>
          <w:sz w:val="20"/>
          <w:szCs w:val="20"/>
        </w:rPr>
        <w:fldChar w:fldCharType="separate"/>
      </w:r>
      <w:r w:rsidR="003401C7">
        <w:rPr>
          <w:noProof/>
          <w:color w:val="auto"/>
          <w:sz w:val="20"/>
          <w:szCs w:val="20"/>
        </w:rPr>
        <w:t>7</w:t>
      </w:r>
      <w:r w:rsidR="00EF653E" w:rsidRPr="00F818BD">
        <w:rPr>
          <w:color w:val="auto"/>
          <w:sz w:val="20"/>
          <w:szCs w:val="20"/>
        </w:rPr>
        <w:fldChar w:fldCharType="end"/>
      </w:r>
      <w:r w:rsidRPr="00F818BD">
        <w:rPr>
          <w:color w:val="auto"/>
          <w:sz w:val="20"/>
          <w:szCs w:val="20"/>
          <w:lang w:val="en-GB"/>
        </w:rPr>
        <w:t>: Carbon emissions from transport sector in Bahrain between 2000 and 2010</w:t>
      </w:r>
      <w:bookmarkEnd w:id="45"/>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22"/>
        <w:gridCol w:w="1398"/>
      </w:tblGrid>
      <w:tr w:rsidR="00806F41" w:rsidRPr="00806F41" w:rsidTr="002A3DA7">
        <w:trPr>
          <w:trHeight w:val="300"/>
          <w:jc w:val="center"/>
        </w:trPr>
        <w:tc>
          <w:tcPr>
            <w:tcW w:w="0" w:type="auto"/>
            <w:shd w:val="clear" w:color="auto" w:fill="000000" w:themeFill="text1"/>
            <w:vAlign w:val="center"/>
          </w:tcPr>
          <w:p w:rsidR="00806F41" w:rsidRPr="00806F41" w:rsidRDefault="00806F41" w:rsidP="00806F41">
            <w:pPr>
              <w:spacing w:after="0" w:line="240" w:lineRule="auto"/>
              <w:jc w:val="center"/>
              <w:rPr>
                <w:rFonts w:ascii="Calibri" w:eastAsia="Times New Roman" w:hAnsi="Calibri" w:cs="Times New Roman"/>
                <w:b/>
                <w:bCs/>
                <w:color w:val="FFFFFF" w:themeColor="background1"/>
                <w:sz w:val="20"/>
                <w:szCs w:val="20"/>
              </w:rPr>
            </w:pPr>
            <w:r w:rsidRPr="00806F41">
              <w:rPr>
                <w:rFonts w:ascii="Calibri" w:eastAsia="Times New Roman" w:hAnsi="Calibri" w:cs="Times New Roman"/>
                <w:b/>
                <w:bCs/>
                <w:color w:val="FFFFFF" w:themeColor="background1"/>
                <w:sz w:val="20"/>
                <w:szCs w:val="20"/>
              </w:rPr>
              <w:t>Year</w:t>
            </w:r>
          </w:p>
        </w:tc>
        <w:tc>
          <w:tcPr>
            <w:tcW w:w="0" w:type="auto"/>
            <w:shd w:val="clear" w:color="auto" w:fill="000000" w:themeFill="text1"/>
            <w:noWrap/>
            <w:vAlign w:val="center"/>
            <w:hideMark/>
          </w:tcPr>
          <w:p w:rsidR="00806F41" w:rsidRPr="00806F41" w:rsidRDefault="00806F41" w:rsidP="00806F41">
            <w:pPr>
              <w:spacing w:after="0" w:line="240" w:lineRule="auto"/>
              <w:jc w:val="center"/>
              <w:rPr>
                <w:rFonts w:ascii="Calibri" w:eastAsia="Times New Roman" w:hAnsi="Calibri" w:cs="Times New Roman"/>
                <w:color w:val="FFFFFF" w:themeColor="background1"/>
                <w:sz w:val="20"/>
                <w:szCs w:val="20"/>
              </w:rPr>
            </w:pPr>
            <w:r w:rsidRPr="00806F41">
              <w:rPr>
                <w:rFonts w:ascii="Calibri" w:eastAsia="Times New Roman" w:hAnsi="Calibri" w:cs="Times New Roman"/>
                <w:color w:val="FFFFFF" w:themeColor="background1"/>
                <w:sz w:val="20"/>
                <w:szCs w:val="20"/>
              </w:rPr>
              <w:t>CO2 emissions</w:t>
            </w:r>
          </w:p>
        </w:tc>
      </w:tr>
      <w:tr w:rsidR="00806F41" w:rsidRPr="00806F41" w:rsidTr="002A3DA7">
        <w:trPr>
          <w:trHeight w:val="300"/>
          <w:jc w:val="center"/>
        </w:trPr>
        <w:tc>
          <w:tcPr>
            <w:tcW w:w="0" w:type="auto"/>
            <w:vAlign w:val="center"/>
          </w:tcPr>
          <w:p w:rsidR="00806F41" w:rsidRPr="00806F41" w:rsidRDefault="00806F41" w:rsidP="00806F41">
            <w:pPr>
              <w:spacing w:after="0" w:line="240" w:lineRule="auto"/>
              <w:jc w:val="center"/>
              <w:rPr>
                <w:rFonts w:eastAsia="Times New Roman" w:cs="Times New Roman"/>
                <w:color w:val="000000"/>
                <w:sz w:val="20"/>
                <w:szCs w:val="20"/>
              </w:rPr>
            </w:pPr>
            <w:r w:rsidRPr="00806F41">
              <w:rPr>
                <w:rFonts w:eastAsia="Times New Roman" w:cs="Times New Roman"/>
                <w:color w:val="000000"/>
                <w:sz w:val="20"/>
                <w:szCs w:val="20"/>
              </w:rPr>
              <w:t>2000</w:t>
            </w:r>
          </w:p>
        </w:tc>
        <w:tc>
          <w:tcPr>
            <w:tcW w:w="0" w:type="auto"/>
            <w:shd w:val="clear" w:color="auto" w:fill="auto"/>
            <w:noWrap/>
            <w:vAlign w:val="center"/>
            <w:hideMark/>
          </w:tcPr>
          <w:p w:rsidR="00806F41" w:rsidRPr="00806F41" w:rsidRDefault="00806F41" w:rsidP="00806F41">
            <w:pPr>
              <w:spacing w:after="0" w:line="240" w:lineRule="auto"/>
              <w:jc w:val="center"/>
              <w:rPr>
                <w:rFonts w:ascii="Calibri" w:eastAsia="Times New Roman" w:hAnsi="Calibri" w:cs="Times New Roman"/>
                <w:color w:val="000000"/>
                <w:sz w:val="20"/>
                <w:szCs w:val="20"/>
              </w:rPr>
            </w:pPr>
            <w:r w:rsidRPr="00806F41">
              <w:rPr>
                <w:rFonts w:ascii="Calibri" w:eastAsia="Times New Roman" w:hAnsi="Calibri" w:cs="Times New Roman"/>
                <w:color w:val="000000"/>
                <w:sz w:val="20"/>
                <w:szCs w:val="20"/>
              </w:rPr>
              <w:t>1462.61</w:t>
            </w:r>
          </w:p>
        </w:tc>
      </w:tr>
      <w:tr w:rsidR="00806F41" w:rsidRPr="00806F41" w:rsidTr="002A3DA7">
        <w:trPr>
          <w:trHeight w:val="300"/>
          <w:jc w:val="center"/>
        </w:trPr>
        <w:tc>
          <w:tcPr>
            <w:tcW w:w="0" w:type="auto"/>
            <w:vAlign w:val="center"/>
          </w:tcPr>
          <w:p w:rsidR="00806F41" w:rsidRPr="00806F41" w:rsidRDefault="00806F41" w:rsidP="00806F41">
            <w:pPr>
              <w:spacing w:after="0" w:line="240" w:lineRule="auto"/>
              <w:jc w:val="center"/>
              <w:rPr>
                <w:rFonts w:eastAsia="Times New Roman" w:cs="Times New Roman"/>
                <w:color w:val="000000"/>
                <w:sz w:val="20"/>
                <w:szCs w:val="20"/>
              </w:rPr>
            </w:pPr>
            <w:r w:rsidRPr="00806F41">
              <w:rPr>
                <w:rFonts w:eastAsia="Times New Roman" w:cs="Times New Roman"/>
                <w:color w:val="000000"/>
                <w:sz w:val="20"/>
                <w:szCs w:val="20"/>
              </w:rPr>
              <w:t>2001</w:t>
            </w:r>
          </w:p>
        </w:tc>
        <w:tc>
          <w:tcPr>
            <w:tcW w:w="0" w:type="auto"/>
            <w:shd w:val="clear" w:color="auto" w:fill="auto"/>
            <w:noWrap/>
            <w:vAlign w:val="center"/>
            <w:hideMark/>
          </w:tcPr>
          <w:p w:rsidR="00806F41" w:rsidRPr="00806F41" w:rsidRDefault="00806F41" w:rsidP="00806F41">
            <w:pPr>
              <w:spacing w:after="0" w:line="240" w:lineRule="auto"/>
              <w:jc w:val="center"/>
              <w:rPr>
                <w:rFonts w:ascii="Calibri" w:eastAsia="Times New Roman" w:hAnsi="Calibri" w:cs="Times New Roman"/>
                <w:color w:val="000000"/>
                <w:sz w:val="20"/>
                <w:szCs w:val="20"/>
              </w:rPr>
            </w:pPr>
            <w:r w:rsidRPr="00806F41">
              <w:rPr>
                <w:rFonts w:ascii="Calibri" w:eastAsia="Times New Roman" w:hAnsi="Calibri" w:cs="Times New Roman"/>
                <w:color w:val="000000"/>
                <w:sz w:val="20"/>
                <w:szCs w:val="20"/>
              </w:rPr>
              <w:t>1500.09</w:t>
            </w:r>
          </w:p>
        </w:tc>
      </w:tr>
      <w:tr w:rsidR="00806F41" w:rsidRPr="00806F41" w:rsidTr="002A3DA7">
        <w:trPr>
          <w:trHeight w:val="300"/>
          <w:jc w:val="center"/>
        </w:trPr>
        <w:tc>
          <w:tcPr>
            <w:tcW w:w="0" w:type="auto"/>
            <w:vAlign w:val="center"/>
          </w:tcPr>
          <w:p w:rsidR="00806F41" w:rsidRPr="00806F41" w:rsidRDefault="00806F41" w:rsidP="00806F41">
            <w:pPr>
              <w:spacing w:after="0" w:line="240" w:lineRule="auto"/>
              <w:jc w:val="center"/>
              <w:rPr>
                <w:rFonts w:eastAsia="Times New Roman" w:cs="Times New Roman"/>
                <w:color w:val="000000"/>
                <w:sz w:val="20"/>
                <w:szCs w:val="20"/>
              </w:rPr>
            </w:pPr>
            <w:r w:rsidRPr="00806F41">
              <w:rPr>
                <w:rFonts w:eastAsia="Times New Roman" w:cs="Times New Roman"/>
                <w:color w:val="000000"/>
                <w:sz w:val="20"/>
                <w:szCs w:val="20"/>
              </w:rPr>
              <w:t>2002</w:t>
            </w:r>
          </w:p>
        </w:tc>
        <w:tc>
          <w:tcPr>
            <w:tcW w:w="0" w:type="auto"/>
            <w:shd w:val="clear" w:color="auto" w:fill="auto"/>
            <w:noWrap/>
            <w:vAlign w:val="center"/>
            <w:hideMark/>
          </w:tcPr>
          <w:p w:rsidR="00806F41" w:rsidRPr="00806F41" w:rsidRDefault="00806F41" w:rsidP="00806F41">
            <w:pPr>
              <w:spacing w:after="0" w:line="240" w:lineRule="auto"/>
              <w:jc w:val="center"/>
              <w:rPr>
                <w:rFonts w:ascii="Calibri" w:eastAsia="Times New Roman" w:hAnsi="Calibri" w:cs="Times New Roman"/>
                <w:color w:val="000000"/>
                <w:sz w:val="20"/>
                <w:szCs w:val="20"/>
              </w:rPr>
            </w:pPr>
            <w:r w:rsidRPr="00806F41">
              <w:rPr>
                <w:rFonts w:ascii="Calibri" w:eastAsia="Times New Roman" w:hAnsi="Calibri" w:cs="Times New Roman"/>
                <w:color w:val="000000"/>
                <w:sz w:val="20"/>
                <w:szCs w:val="20"/>
              </w:rPr>
              <w:t>1712.48</w:t>
            </w:r>
          </w:p>
        </w:tc>
      </w:tr>
      <w:tr w:rsidR="00806F41" w:rsidRPr="00806F41" w:rsidTr="002A3DA7">
        <w:trPr>
          <w:trHeight w:val="300"/>
          <w:jc w:val="center"/>
        </w:trPr>
        <w:tc>
          <w:tcPr>
            <w:tcW w:w="0" w:type="auto"/>
            <w:vAlign w:val="center"/>
          </w:tcPr>
          <w:p w:rsidR="00806F41" w:rsidRPr="00806F41" w:rsidRDefault="00806F41" w:rsidP="00806F41">
            <w:pPr>
              <w:spacing w:after="0" w:line="240" w:lineRule="auto"/>
              <w:jc w:val="center"/>
              <w:rPr>
                <w:rFonts w:eastAsia="Times New Roman" w:cs="Times New Roman"/>
                <w:color w:val="000000"/>
                <w:sz w:val="20"/>
                <w:szCs w:val="20"/>
              </w:rPr>
            </w:pPr>
            <w:r w:rsidRPr="00806F41">
              <w:rPr>
                <w:rFonts w:eastAsia="Times New Roman" w:cs="Times New Roman"/>
                <w:color w:val="000000"/>
                <w:sz w:val="20"/>
                <w:szCs w:val="20"/>
              </w:rPr>
              <w:t>2003</w:t>
            </w:r>
          </w:p>
        </w:tc>
        <w:tc>
          <w:tcPr>
            <w:tcW w:w="0" w:type="auto"/>
            <w:shd w:val="clear" w:color="auto" w:fill="auto"/>
            <w:noWrap/>
            <w:vAlign w:val="center"/>
            <w:hideMark/>
          </w:tcPr>
          <w:p w:rsidR="00806F41" w:rsidRPr="00806F41" w:rsidRDefault="00806F41" w:rsidP="00806F41">
            <w:pPr>
              <w:spacing w:after="0" w:line="240" w:lineRule="auto"/>
              <w:jc w:val="center"/>
              <w:rPr>
                <w:rFonts w:ascii="Calibri" w:eastAsia="Times New Roman" w:hAnsi="Calibri" w:cs="Times New Roman"/>
                <w:color w:val="000000"/>
                <w:sz w:val="20"/>
                <w:szCs w:val="20"/>
              </w:rPr>
            </w:pPr>
            <w:r w:rsidRPr="00806F41">
              <w:rPr>
                <w:rFonts w:ascii="Calibri" w:eastAsia="Times New Roman" w:hAnsi="Calibri" w:cs="Times New Roman"/>
                <w:color w:val="000000"/>
                <w:sz w:val="20"/>
                <w:szCs w:val="20"/>
              </w:rPr>
              <w:t>1863.74</w:t>
            </w:r>
          </w:p>
        </w:tc>
      </w:tr>
      <w:tr w:rsidR="00806F41" w:rsidRPr="00806F41" w:rsidTr="002A3DA7">
        <w:trPr>
          <w:trHeight w:val="300"/>
          <w:jc w:val="center"/>
        </w:trPr>
        <w:tc>
          <w:tcPr>
            <w:tcW w:w="0" w:type="auto"/>
            <w:vAlign w:val="center"/>
          </w:tcPr>
          <w:p w:rsidR="00806F41" w:rsidRPr="00806F41" w:rsidRDefault="00806F41" w:rsidP="00806F41">
            <w:pPr>
              <w:spacing w:after="0" w:line="240" w:lineRule="auto"/>
              <w:jc w:val="center"/>
              <w:rPr>
                <w:rFonts w:eastAsia="Times New Roman" w:cs="Times New Roman"/>
                <w:color w:val="000000"/>
                <w:sz w:val="20"/>
                <w:szCs w:val="20"/>
              </w:rPr>
            </w:pPr>
            <w:r w:rsidRPr="00806F41">
              <w:rPr>
                <w:rFonts w:eastAsia="Times New Roman" w:cs="Times New Roman"/>
                <w:color w:val="000000"/>
                <w:sz w:val="20"/>
                <w:szCs w:val="20"/>
              </w:rPr>
              <w:t>2004</w:t>
            </w:r>
          </w:p>
        </w:tc>
        <w:tc>
          <w:tcPr>
            <w:tcW w:w="0" w:type="auto"/>
            <w:shd w:val="clear" w:color="auto" w:fill="auto"/>
            <w:noWrap/>
            <w:vAlign w:val="center"/>
            <w:hideMark/>
          </w:tcPr>
          <w:p w:rsidR="00806F41" w:rsidRPr="00806F41" w:rsidRDefault="00806F41" w:rsidP="00806F41">
            <w:pPr>
              <w:spacing w:after="0" w:line="240" w:lineRule="auto"/>
              <w:jc w:val="center"/>
              <w:rPr>
                <w:rFonts w:ascii="Calibri" w:eastAsia="Times New Roman" w:hAnsi="Calibri" w:cs="Times New Roman"/>
                <w:color w:val="000000"/>
                <w:sz w:val="20"/>
                <w:szCs w:val="20"/>
              </w:rPr>
            </w:pPr>
            <w:r w:rsidRPr="00806F41">
              <w:rPr>
                <w:rFonts w:ascii="Calibri" w:eastAsia="Times New Roman" w:hAnsi="Calibri" w:cs="Times New Roman"/>
                <w:color w:val="000000"/>
                <w:sz w:val="20"/>
                <w:szCs w:val="20"/>
              </w:rPr>
              <w:t>2021.64</w:t>
            </w:r>
          </w:p>
        </w:tc>
      </w:tr>
      <w:tr w:rsidR="00806F41" w:rsidRPr="00806F41" w:rsidTr="002A3DA7">
        <w:trPr>
          <w:trHeight w:val="300"/>
          <w:jc w:val="center"/>
        </w:trPr>
        <w:tc>
          <w:tcPr>
            <w:tcW w:w="0" w:type="auto"/>
            <w:vAlign w:val="center"/>
          </w:tcPr>
          <w:p w:rsidR="00806F41" w:rsidRPr="00806F41" w:rsidRDefault="00806F41" w:rsidP="00806F41">
            <w:pPr>
              <w:spacing w:after="0" w:line="240" w:lineRule="auto"/>
              <w:jc w:val="center"/>
              <w:rPr>
                <w:rFonts w:eastAsia="Times New Roman" w:cs="Times New Roman"/>
                <w:color w:val="000000"/>
                <w:sz w:val="20"/>
                <w:szCs w:val="20"/>
              </w:rPr>
            </w:pPr>
            <w:r w:rsidRPr="00806F41">
              <w:rPr>
                <w:rFonts w:eastAsia="Times New Roman" w:cs="Times New Roman"/>
                <w:color w:val="000000"/>
                <w:sz w:val="20"/>
                <w:szCs w:val="20"/>
              </w:rPr>
              <w:t>2005</w:t>
            </w:r>
          </w:p>
        </w:tc>
        <w:tc>
          <w:tcPr>
            <w:tcW w:w="0" w:type="auto"/>
            <w:shd w:val="clear" w:color="auto" w:fill="auto"/>
            <w:noWrap/>
            <w:vAlign w:val="center"/>
            <w:hideMark/>
          </w:tcPr>
          <w:p w:rsidR="00806F41" w:rsidRPr="00806F41" w:rsidRDefault="00806F41" w:rsidP="00806F41">
            <w:pPr>
              <w:spacing w:after="0" w:line="240" w:lineRule="auto"/>
              <w:jc w:val="center"/>
              <w:rPr>
                <w:rFonts w:ascii="Calibri" w:eastAsia="Times New Roman" w:hAnsi="Calibri" w:cs="Times New Roman"/>
                <w:color w:val="000000"/>
                <w:sz w:val="20"/>
                <w:szCs w:val="20"/>
              </w:rPr>
            </w:pPr>
            <w:r w:rsidRPr="00806F41">
              <w:rPr>
                <w:rFonts w:ascii="Calibri" w:eastAsia="Times New Roman" w:hAnsi="Calibri" w:cs="Times New Roman"/>
                <w:color w:val="000000"/>
                <w:sz w:val="20"/>
                <w:szCs w:val="20"/>
              </w:rPr>
              <w:t>2350.25</w:t>
            </w:r>
          </w:p>
        </w:tc>
      </w:tr>
      <w:tr w:rsidR="00806F41" w:rsidRPr="00806F41" w:rsidTr="002A3DA7">
        <w:trPr>
          <w:trHeight w:val="300"/>
          <w:jc w:val="center"/>
        </w:trPr>
        <w:tc>
          <w:tcPr>
            <w:tcW w:w="0" w:type="auto"/>
            <w:vAlign w:val="center"/>
          </w:tcPr>
          <w:p w:rsidR="00806F41" w:rsidRPr="00806F41" w:rsidRDefault="00806F41" w:rsidP="00806F41">
            <w:pPr>
              <w:spacing w:after="0" w:line="240" w:lineRule="auto"/>
              <w:jc w:val="center"/>
              <w:rPr>
                <w:rFonts w:eastAsia="Times New Roman" w:cs="Times New Roman"/>
                <w:color w:val="000000"/>
                <w:sz w:val="20"/>
                <w:szCs w:val="20"/>
              </w:rPr>
            </w:pPr>
            <w:r w:rsidRPr="00806F41">
              <w:rPr>
                <w:rFonts w:eastAsia="Times New Roman" w:cs="Times New Roman"/>
                <w:color w:val="000000"/>
                <w:sz w:val="20"/>
                <w:szCs w:val="20"/>
              </w:rPr>
              <w:t>2006</w:t>
            </w:r>
          </w:p>
        </w:tc>
        <w:tc>
          <w:tcPr>
            <w:tcW w:w="0" w:type="auto"/>
            <w:shd w:val="clear" w:color="auto" w:fill="auto"/>
            <w:noWrap/>
            <w:vAlign w:val="center"/>
            <w:hideMark/>
          </w:tcPr>
          <w:p w:rsidR="00806F41" w:rsidRPr="00806F41" w:rsidRDefault="00806F41" w:rsidP="00806F41">
            <w:pPr>
              <w:spacing w:after="0" w:line="240" w:lineRule="auto"/>
              <w:jc w:val="center"/>
              <w:rPr>
                <w:rFonts w:ascii="Calibri" w:eastAsia="Times New Roman" w:hAnsi="Calibri" w:cs="Times New Roman"/>
                <w:color w:val="000000"/>
                <w:sz w:val="20"/>
                <w:szCs w:val="20"/>
              </w:rPr>
            </w:pPr>
            <w:r w:rsidRPr="00806F41">
              <w:rPr>
                <w:rFonts w:ascii="Calibri" w:eastAsia="Times New Roman" w:hAnsi="Calibri" w:cs="Times New Roman"/>
                <w:color w:val="000000"/>
                <w:sz w:val="20"/>
                <w:szCs w:val="20"/>
              </w:rPr>
              <w:t>2458.99</w:t>
            </w:r>
          </w:p>
        </w:tc>
      </w:tr>
      <w:tr w:rsidR="00806F41" w:rsidRPr="00806F41" w:rsidTr="002A3DA7">
        <w:trPr>
          <w:trHeight w:val="300"/>
          <w:jc w:val="center"/>
        </w:trPr>
        <w:tc>
          <w:tcPr>
            <w:tcW w:w="0" w:type="auto"/>
            <w:vAlign w:val="center"/>
          </w:tcPr>
          <w:p w:rsidR="00806F41" w:rsidRPr="00806F41" w:rsidRDefault="00806F41" w:rsidP="00806F41">
            <w:pPr>
              <w:spacing w:after="0" w:line="240" w:lineRule="auto"/>
              <w:jc w:val="center"/>
              <w:rPr>
                <w:rFonts w:eastAsia="Times New Roman" w:cs="Times New Roman"/>
                <w:color w:val="000000"/>
                <w:sz w:val="20"/>
                <w:szCs w:val="20"/>
              </w:rPr>
            </w:pPr>
            <w:r w:rsidRPr="00806F41">
              <w:rPr>
                <w:rFonts w:eastAsia="Times New Roman" w:cs="Times New Roman"/>
                <w:color w:val="000000"/>
                <w:sz w:val="20"/>
                <w:szCs w:val="20"/>
              </w:rPr>
              <w:t>2007</w:t>
            </w:r>
          </w:p>
        </w:tc>
        <w:tc>
          <w:tcPr>
            <w:tcW w:w="0" w:type="auto"/>
            <w:shd w:val="clear" w:color="auto" w:fill="auto"/>
            <w:noWrap/>
            <w:vAlign w:val="center"/>
            <w:hideMark/>
          </w:tcPr>
          <w:p w:rsidR="00806F41" w:rsidRPr="00806F41" w:rsidRDefault="00806F41" w:rsidP="00806F41">
            <w:pPr>
              <w:spacing w:after="0" w:line="240" w:lineRule="auto"/>
              <w:jc w:val="center"/>
              <w:rPr>
                <w:rFonts w:ascii="Calibri" w:eastAsia="Times New Roman" w:hAnsi="Calibri" w:cs="Times New Roman"/>
                <w:color w:val="000000"/>
                <w:sz w:val="20"/>
                <w:szCs w:val="20"/>
              </w:rPr>
            </w:pPr>
            <w:r w:rsidRPr="00806F41">
              <w:rPr>
                <w:rFonts w:ascii="Calibri" w:eastAsia="Times New Roman" w:hAnsi="Calibri" w:cs="Times New Roman"/>
                <w:color w:val="000000"/>
                <w:sz w:val="20"/>
                <w:szCs w:val="20"/>
              </w:rPr>
              <w:t>2587.22</w:t>
            </w:r>
          </w:p>
        </w:tc>
      </w:tr>
      <w:tr w:rsidR="00806F41" w:rsidRPr="00806F41" w:rsidTr="002A3DA7">
        <w:trPr>
          <w:trHeight w:val="300"/>
          <w:jc w:val="center"/>
        </w:trPr>
        <w:tc>
          <w:tcPr>
            <w:tcW w:w="0" w:type="auto"/>
            <w:vAlign w:val="center"/>
          </w:tcPr>
          <w:p w:rsidR="00806F41" w:rsidRPr="00806F41" w:rsidRDefault="00806F41" w:rsidP="00806F41">
            <w:pPr>
              <w:spacing w:after="0" w:line="240" w:lineRule="auto"/>
              <w:jc w:val="center"/>
              <w:rPr>
                <w:rFonts w:eastAsia="Times New Roman" w:cs="Times New Roman"/>
                <w:color w:val="000000"/>
                <w:sz w:val="20"/>
                <w:szCs w:val="20"/>
              </w:rPr>
            </w:pPr>
            <w:r w:rsidRPr="00806F41">
              <w:rPr>
                <w:rFonts w:eastAsia="Times New Roman" w:cs="Times New Roman"/>
                <w:color w:val="000000"/>
                <w:sz w:val="20"/>
                <w:szCs w:val="20"/>
              </w:rPr>
              <w:t>2008</w:t>
            </w:r>
          </w:p>
        </w:tc>
        <w:tc>
          <w:tcPr>
            <w:tcW w:w="0" w:type="auto"/>
            <w:shd w:val="clear" w:color="auto" w:fill="auto"/>
            <w:noWrap/>
            <w:vAlign w:val="center"/>
            <w:hideMark/>
          </w:tcPr>
          <w:p w:rsidR="00806F41" w:rsidRPr="00806F41" w:rsidRDefault="00806F41" w:rsidP="00806F41">
            <w:pPr>
              <w:spacing w:after="0" w:line="240" w:lineRule="auto"/>
              <w:jc w:val="center"/>
              <w:rPr>
                <w:rFonts w:ascii="Calibri" w:eastAsia="Times New Roman" w:hAnsi="Calibri" w:cs="Times New Roman"/>
                <w:color w:val="000000"/>
                <w:sz w:val="20"/>
                <w:szCs w:val="20"/>
              </w:rPr>
            </w:pPr>
            <w:r w:rsidRPr="00806F41">
              <w:rPr>
                <w:rFonts w:ascii="Calibri" w:eastAsia="Times New Roman" w:hAnsi="Calibri" w:cs="Times New Roman"/>
                <w:color w:val="000000"/>
                <w:sz w:val="20"/>
                <w:szCs w:val="20"/>
              </w:rPr>
              <w:t>2906.78</w:t>
            </w:r>
          </w:p>
        </w:tc>
      </w:tr>
      <w:tr w:rsidR="00806F41" w:rsidRPr="00806F41" w:rsidTr="002A3DA7">
        <w:trPr>
          <w:trHeight w:val="300"/>
          <w:jc w:val="center"/>
        </w:trPr>
        <w:tc>
          <w:tcPr>
            <w:tcW w:w="0" w:type="auto"/>
            <w:vAlign w:val="center"/>
          </w:tcPr>
          <w:p w:rsidR="00806F41" w:rsidRPr="00806F41" w:rsidRDefault="00806F41" w:rsidP="00806F41">
            <w:pPr>
              <w:spacing w:after="0" w:line="240" w:lineRule="auto"/>
              <w:jc w:val="center"/>
              <w:rPr>
                <w:rFonts w:eastAsia="Times New Roman" w:cs="Times New Roman"/>
                <w:color w:val="000000"/>
                <w:sz w:val="20"/>
                <w:szCs w:val="20"/>
              </w:rPr>
            </w:pPr>
            <w:r w:rsidRPr="00806F41">
              <w:rPr>
                <w:rFonts w:eastAsia="Times New Roman" w:cs="Times New Roman"/>
                <w:color w:val="000000"/>
                <w:sz w:val="20"/>
                <w:szCs w:val="20"/>
              </w:rPr>
              <w:t>2009</w:t>
            </w:r>
          </w:p>
        </w:tc>
        <w:tc>
          <w:tcPr>
            <w:tcW w:w="0" w:type="auto"/>
            <w:shd w:val="clear" w:color="auto" w:fill="auto"/>
            <w:noWrap/>
            <w:vAlign w:val="center"/>
            <w:hideMark/>
          </w:tcPr>
          <w:p w:rsidR="00806F41" w:rsidRPr="00806F41" w:rsidRDefault="00806F41" w:rsidP="00806F41">
            <w:pPr>
              <w:spacing w:after="0" w:line="240" w:lineRule="auto"/>
              <w:jc w:val="center"/>
              <w:rPr>
                <w:rFonts w:ascii="Calibri" w:eastAsia="Times New Roman" w:hAnsi="Calibri" w:cs="Times New Roman"/>
                <w:color w:val="000000"/>
                <w:sz w:val="20"/>
                <w:szCs w:val="20"/>
              </w:rPr>
            </w:pPr>
            <w:r w:rsidRPr="00806F41">
              <w:rPr>
                <w:rFonts w:ascii="Calibri" w:eastAsia="Times New Roman" w:hAnsi="Calibri" w:cs="Times New Roman"/>
                <w:color w:val="000000"/>
                <w:sz w:val="20"/>
                <w:szCs w:val="20"/>
              </w:rPr>
              <w:t>2928.59</w:t>
            </w:r>
          </w:p>
        </w:tc>
      </w:tr>
      <w:tr w:rsidR="00806F41" w:rsidRPr="00806F41" w:rsidTr="002A3DA7">
        <w:trPr>
          <w:trHeight w:val="300"/>
          <w:jc w:val="center"/>
        </w:trPr>
        <w:tc>
          <w:tcPr>
            <w:tcW w:w="0" w:type="auto"/>
            <w:vAlign w:val="center"/>
          </w:tcPr>
          <w:p w:rsidR="00806F41" w:rsidRPr="00806F41" w:rsidRDefault="00806F41" w:rsidP="00806F41">
            <w:pPr>
              <w:spacing w:after="0" w:line="240" w:lineRule="auto"/>
              <w:jc w:val="center"/>
              <w:rPr>
                <w:rFonts w:eastAsia="Times New Roman" w:cs="Times New Roman"/>
                <w:color w:val="000000"/>
                <w:sz w:val="20"/>
                <w:szCs w:val="20"/>
              </w:rPr>
            </w:pPr>
            <w:r w:rsidRPr="00806F41">
              <w:rPr>
                <w:rFonts w:eastAsia="Times New Roman" w:cs="Times New Roman"/>
                <w:color w:val="000000"/>
                <w:sz w:val="20"/>
                <w:szCs w:val="20"/>
              </w:rPr>
              <w:t>2010</w:t>
            </w:r>
          </w:p>
        </w:tc>
        <w:tc>
          <w:tcPr>
            <w:tcW w:w="0" w:type="auto"/>
            <w:shd w:val="clear" w:color="auto" w:fill="auto"/>
            <w:noWrap/>
            <w:vAlign w:val="center"/>
            <w:hideMark/>
          </w:tcPr>
          <w:p w:rsidR="00806F41" w:rsidRPr="00806F41" w:rsidRDefault="00806F41" w:rsidP="00806F41">
            <w:pPr>
              <w:spacing w:after="0" w:line="240" w:lineRule="auto"/>
              <w:jc w:val="center"/>
              <w:rPr>
                <w:rFonts w:ascii="Calibri" w:eastAsia="Times New Roman" w:hAnsi="Calibri" w:cs="Times New Roman"/>
                <w:color w:val="000000"/>
                <w:sz w:val="20"/>
                <w:szCs w:val="20"/>
              </w:rPr>
            </w:pPr>
            <w:r w:rsidRPr="00806F41">
              <w:rPr>
                <w:rFonts w:ascii="Calibri" w:eastAsia="Times New Roman" w:hAnsi="Calibri" w:cs="Times New Roman"/>
                <w:color w:val="000000"/>
                <w:sz w:val="20"/>
                <w:szCs w:val="20"/>
              </w:rPr>
              <w:t>2905.25</w:t>
            </w:r>
          </w:p>
        </w:tc>
      </w:tr>
    </w:tbl>
    <w:p w:rsidR="00F818BD" w:rsidRDefault="00F818BD" w:rsidP="00F818BD">
      <w:pPr>
        <w:spacing w:after="0" w:line="240" w:lineRule="auto"/>
        <w:jc w:val="center"/>
        <w:rPr>
          <w:rFonts w:cs="Times New Roman"/>
          <w:sz w:val="20"/>
          <w:szCs w:val="20"/>
        </w:rPr>
      </w:pPr>
      <w:r w:rsidRPr="00820B56">
        <w:rPr>
          <w:rFonts w:cs="Times New Roman"/>
          <w:sz w:val="20"/>
          <w:szCs w:val="20"/>
        </w:rPr>
        <w:t>Source: PMEW, 2012; own calculations.</w:t>
      </w:r>
    </w:p>
    <w:p w:rsidR="004D3B08" w:rsidRPr="00820B56" w:rsidRDefault="004D3B08" w:rsidP="00F818BD">
      <w:pPr>
        <w:spacing w:after="0" w:line="240" w:lineRule="auto"/>
        <w:jc w:val="center"/>
        <w:rPr>
          <w:rFonts w:cs="Times New Roman"/>
          <w:sz w:val="20"/>
          <w:szCs w:val="20"/>
        </w:rPr>
      </w:pPr>
    </w:p>
    <w:p w:rsidR="004D3B08" w:rsidRDefault="004D3B08" w:rsidP="004D3B08">
      <w:pPr>
        <w:pStyle w:val="Caption"/>
        <w:keepNext/>
        <w:spacing w:after="0"/>
        <w:jc w:val="center"/>
        <w:rPr>
          <w:color w:val="auto"/>
          <w:sz w:val="20"/>
          <w:szCs w:val="20"/>
          <w:lang w:val="en-GB"/>
        </w:rPr>
      </w:pPr>
      <w:bookmarkStart w:id="46" w:name="_Toc377544433"/>
      <w:r w:rsidRPr="00FA4D9D">
        <w:rPr>
          <w:color w:val="auto"/>
          <w:sz w:val="20"/>
          <w:szCs w:val="20"/>
        </w:rPr>
        <w:t xml:space="preserve">Table </w:t>
      </w:r>
      <w:r w:rsidR="00EF653E" w:rsidRPr="00FA4D9D">
        <w:rPr>
          <w:color w:val="auto"/>
          <w:sz w:val="20"/>
          <w:szCs w:val="20"/>
        </w:rPr>
        <w:fldChar w:fldCharType="begin"/>
      </w:r>
      <w:r w:rsidRPr="00FA4D9D">
        <w:rPr>
          <w:color w:val="auto"/>
          <w:sz w:val="20"/>
          <w:szCs w:val="20"/>
        </w:rPr>
        <w:instrText xml:space="preserve"> SEQ Table \* ARABIC </w:instrText>
      </w:r>
      <w:r w:rsidR="00EF653E" w:rsidRPr="00FA4D9D">
        <w:rPr>
          <w:color w:val="auto"/>
          <w:sz w:val="20"/>
          <w:szCs w:val="20"/>
        </w:rPr>
        <w:fldChar w:fldCharType="separate"/>
      </w:r>
      <w:r w:rsidR="003401C7">
        <w:rPr>
          <w:noProof/>
          <w:color w:val="auto"/>
          <w:sz w:val="20"/>
          <w:szCs w:val="20"/>
        </w:rPr>
        <w:t>8</w:t>
      </w:r>
      <w:r w:rsidR="00EF653E" w:rsidRPr="00FA4D9D">
        <w:rPr>
          <w:color w:val="auto"/>
          <w:sz w:val="20"/>
          <w:szCs w:val="20"/>
        </w:rPr>
        <w:fldChar w:fldCharType="end"/>
      </w:r>
      <w:r w:rsidRPr="00FA4D9D">
        <w:rPr>
          <w:color w:val="auto"/>
          <w:sz w:val="20"/>
          <w:szCs w:val="20"/>
          <w:lang w:val="en-GB"/>
        </w:rPr>
        <w:t>: Average fuel economy (</w:t>
      </w:r>
      <w:r>
        <w:rPr>
          <w:color w:val="auto"/>
          <w:sz w:val="20"/>
          <w:szCs w:val="20"/>
          <w:lang w:val="en-GB"/>
        </w:rPr>
        <w:t>L/100km</w:t>
      </w:r>
      <w:r w:rsidRPr="00FA4D9D">
        <w:rPr>
          <w:color w:val="auto"/>
          <w:sz w:val="20"/>
          <w:szCs w:val="20"/>
          <w:lang w:val="en-GB"/>
        </w:rPr>
        <w:t>) and CO</w:t>
      </w:r>
      <w:r w:rsidRPr="006028A4">
        <w:rPr>
          <w:color w:val="auto"/>
          <w:sz w:val="20"/>
          <w:szCs w:val="20"/>
          <w:vertAlign w:val="subscript"/>
          <w:lang w:val="en-GB"/>
        </w:rPr>
        <w:t>2</w:t>
      </w:r>
      <w:r w:rsidRPr="00FA4D9D">
        <w:rPr>
          <w:color w:val="auto"/>
          <w:sz w:val="20"/>
          <w:szCs w:val="20"/>
          <w:lang w:val="en-GB"/>
        </w:rPr>
        <w:t xml:space="preserve"> emissions (g/</w:t>
      </w:r>
      <w:r>
        <w:rPr>
          <w:color w:val="auto"/>
          <w:sz w:val="20"/>
          <w:szCs w:val="20"/>
          <w:lang w:val="en-GB"/>
        </w:rPr>
        <w:t>k</w:t>
      </w:r>
      <w:r w:rsidRPr="00FA4D9D">
        <w:rPr>
          <w:color w:val="auto"/>
          <w:sz w:val="20"/>
          <w:szCs w:val="20"/>
          <w:lang w:val="en-GB"/>
        </w:rPr>
        <w:t>m) for new LDVs in Bahrain</w:t>
      </w:r>
      <w:bookmarkEnd w:id="46"/>
      <w:r w:rsidRPr="00FA4D9D">
        <w:rPr>
          <w:color w:val="auto"/>
          <w:sz w:val="20"/>
          <w:szCs w:val="20"/>
          <w:lang w:val="en-GB"/>
        </w:rPr>
        <w:t xml:space="preserve"> </w:t>
      </w:r>
    </w:p>
    <w:p w:rsidR="004D3B08" w:rsidRPr="00FA4D9D" w:rsidRDefault="004D3B08" w:rsidP="004D3B08">
      <w:pPr>
        <w:pStyle w:val="Caption"/>
        <w:keepNext/>
        <w:spacing w:after="0"/>
        <w:jc w:val="center"/>
        <w:rPr>
          <w:color w:val="auto"/>
          <w:sz w:val="20"/>
          <w:szCs w:val="20"/>
        </w:rPr>
      </w:pPr>
      <w:r w:rsidRPr="00FA4D9D">
        <w:rPr>
          <w:color w:val="auto"/>
          <w:sz w:val="20"/>
          <w:szCs w:val="20"/>
          <w:lang w:val="en-GB"/>
        </w:rPr>
        <w:t>in 2005, 2008, 2010 and 2012</w:t>
      </w:r>
    </w:p>
    <w:tbl>
      <w:tblPr>
        <w:tblStyle w:val="LightList1"/>
        <w:tblW w:w="0" w:type="auto"/>
        <w:jc w:val="center"/>
        <w:tblLook w:val="04A0" w:firstRow="1" w:lastRow="0" w:firstColumn="1" w:lastColumn="0" w:noHBand="0" w:noVBand="1"/>
      </w:tblPr>
      <w:tblGrid>
        <w:gridCol w:w="622"/>
        <w:gridCol w:w="2660"/>
        <w:gridCol w:w="2704"/>
        <w:gridCol w:w="2721"/>
      </w:tblGrid>
      <w:tr w:rsidR="004D3B08" w:rsidRPr="00FF3B2F" w:rsidTr="00CC2321">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D3B08" w:rsidRPr="00FF3B2F" w:rsidRDefault="004D3B08" w:rsidP="00CC2321">
            <w:pPr>
              <w:jc w:val="center"/>
              <w:rPr>
                <w:rFonts w:ascii="Calibri" w:eastAsia="Times New Roman" w:hAnsi="Calibri" w:cs="Times New Roman"/>
                <w:sz w:val="20"/>
                <w:szCs w:val="20"/>
              </w:rPr>
            </w:pPr>
            <w:r w:rsidRPr="00077A0D">
              <w:rPr>
                <w:rFonts w:ascii="Calibri" w:eastAsia="Times New Roman" w:hAnsi="Calibri" w:cs="Times New Roman"/>
                <w:sz w:val="20"/>
                <w:szCs w:val="20"/>
              </w:rPr>
              <w:t>Year</w:t>
            </w:r>
          </w:p>
        </w:tc>
        <w:tc>
          <w:tcPr>
            <w:tcW w:w="0" w:type="auto"/>
            <w:vAlign w:val="center"/>
            <w:hideMark/>
          </w:tcPr>
          <w:p w:rsidR="004D3B08" w:rsidRPr="00FF3B2F" w:rsidRDefault="004D3B08" w:rsidP="00CC232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Average fuel economy</w:t>
            </w:r>
            <w:r w:rsidRPr="00FF3B2F">
              <w:rPr>
                <w:rFonts w:ascii="Calibri" w:eastAsia="Times New Roman" w:hAnsi="Calibri" w:cs="Times New Roman"/>
                <w:sz w:val="20"/>
                <w:szCs w:val="20"/>
              </w:rPr>
              <w:t xml:space="preserve"> (CAFE)</w:t>
            </w:r>
          </w:p>
        </w:tc>
        <w:tc>
          <w:tcPr>
            <w:tcW w:w="0" w:type="auto"/>
            <w:vAlign w:val="center"/>
            <w:hideMark/>
          </w:tcPr>
          <w:p w:rsidR="004D3B08" w:rsidRPr="00FF3B2F" w:rsidRDefault="004D3B08" w:rsidP="00CC232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F3B2F">
              <w:rPr>
                <w:rFonts w:ascii="Calibri" w:eastAsia="Times New Roman" w:hAnsi="Calibri" w:cs="Times New Roman"/>
                <w:sz w:val="20"/>
                <w:szCs w:val="20"/>
              </w:rPr>
              <w:t xml:space="preserve">Average </w:t>
            </w:r>
            <w:r>
              <w:rPr>
                <w:rFonts w:ascii="Calibri" w:eastAsia="Times New Roman" w:hAnsi="Calibri" w:cs="Times New Roman"/>
                <w:sz w:val="20"/>
                <w:szCs w:val="20"/>
              </w:rPr>
              <w:t>fuel economy</w:t>
            </w:r>
            <w:r w:rsidRPr="00FF3B2F">
              <w:rPr>
                <w:rFonts w:ascii="Calibri" w:eastAsia="Times New Roman" w:hAnsi="Calibri" w:cs="Times New Roman"/>
                <w:sz w:val="20"/>
                <w:szCs w:val="20"/>
              </w:rPr>
              <w:t xml:space="preserve"> (NEDC)</w:t>
            </w:r>
          </w:p>
        </w:tc>
        <w:tc>
          <w:tcPr>
            <w:tcW w:w="0" w:type="auto"/>
            <w:vAlign w:val="center"/>
            <w:hideMark/>
          </w:tcPr>
          <w:p w:rsidR="004D3B08" w:rsidRPr="00FF3B2F" w:rsidRDefault="004D3B08" w:rsidP="00CC232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FF3B2F">
              <w:rPr>
                <w:rFonts w:ascii="Calibri" w:eastAsia="Times New Roman" w:hAnsi="Calibri" w:cs="Times New Roman"/>
                <w:sz w:val="20"/>
                <w:szCs w:val="20"/>
              </w:rPr>
              <w:t>Average CO</w:t>
            </w:r>
            <w:r w:rsidRPr="00FF3B2F">
              <w:rPr>
                <w:rFonts w:ascii="Calibri" w:eastAsia="Times New Roman" w:hAnsi="Calibri" w:cs="Times New Roman"/>
                <w:sz w:val="20"/>
                <w:szCs w:val="20"/>
                <w:vertAlign w:val="subscript"/>
              </w:rPr>
              <w:t>2</w:t>
            </w:r>
            <w:r w:rsidRPr="00077A0D">
              <w:rPr>
                <w:rFonts w:ascii="Calibri" w:eastAsia="Times New Roman" w:hAnsi="Calibri" w:cs="Times New Roman"/>
                <w:sz w:val="20"/>
                <w:szCs w:val="20"/>
              </w:rPr>
              <w:t xml:space="preserve"> emissions (g/</w:t>
            </w:r>
            <w:r>
              <w:rPr>
                <w:rFonts w:ascii="Calibri" w:eastAsia="Times New Roman" w:hAnsi="Calibri" w:cs="Times New Roman"/>
                <w:sz w:val="20"/>
                <w:szCs w:val="20"/>
              </w:rPr>
              <w:t>k</w:t>
            </w:r>
            <w:r w:rsidRPr="00077A0D">
              <w:rPr>
                <w:rFonts w:ascii="Calibri" w:eastAsia="Times New Roman" w:hAnsi="Calibri" w:cs="Times New Roman"/>
                <w:sz w:val="20"/>
                <w:szCs w:val="20"/>
              </w:rPr>
              <w:t>m</w:t>
            </w:r>
            <w:r w:rsidRPr="00FF3B2F">
              <w:rPr>
                <w:rFonts w:ascii="Calibri" w:eastAsia="Times New Roman" w:hAnsi="Calibri" w:cs="Times New Roman"/>
                <w:sz w:val="20"/>
                <w:szCs w:val="20"/>
              </w:rPr>
              <w:t>)</w:t>
            </w:r>
          </w:p>
        </w:tc>
      </w:tr>
      <w:tr w:rsidR="004D3B08" w:rsidRPr="00FF3B2F" w:rsidTr="00CC232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D3B08" w:rsidRPr="00FF3B2F" w:rsidRDefault="004D3B08" w:rsidP="00CC2321">
            <w:pPr>
              <w:jc w:val="center"/>
              <w:rPr>
                <w:rFonts w:ascii="Calibri" w:eastAsia="Times New Roman" w:hAnsi="Calibri" w:cs="Times New Roman"/>
                <w:b w:val="0"/>
                <w:bCs w:val="0"/>
                <w:color w:val="000000"/>
                <w:sz w:val="20"/>
                <w:szCs w:val="20"/>
              </w:rPr>
            </w:pPr>
            <w:r w:rsidRPr="00FF3B2F">
              <w:rPr>
                <w:rFonts w:ascii="Calibri" w:eastAsia="Times New Roman" w:hAnsi="Calibri" w:cs="Times New Roman"/>
                <w:b w:val="0"/>
                <w:bCs w:val="0"/>
                <w:color w:val="000000"/>
                <w:sz w:val="20"/>
                <w:szCs w:val="20"/>
              </w:rPr>
              <w:t>2005</w:t>
            </w:r>
          </w:p>
        </w:tc>
        <w:tc>
          <w:tcPr>
            <w:tcW w:w="0" w:type="auto"/>
            <w:vAlign w:val="center"/>
            <w:hideMark/>
          </w:tcPr>
          <w:p w:rsidR="004D3B08" w:rsidRPr="00FF3B2F" w:rsidRDefault="004D3B08"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10.5</w:t>
            </w:r>
          </w:p>
        </w:tc>
        <w:tc>
          <w:tcPr>
            <w:tcW w:w="0" w:type="auto"/>
            <w:vAlign w:val="center"/>
            <w:hideMark/>
          </w:tcPr>
          <w:p w:rsidR="004D3B08" w:rsidRPr="00FF3B2F" w:rsidRDefault="004D3B08"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12.1</w:t>
            </w:r>
          </w:p>
        </w:tc>
        <w:tc>
          <w:tcPr>
            <w:tcW w:w="0" w:type="auto"/>
            <w:vAlign w:val="center"/>
            <w:hideMark/>
          </w:tcPr>
          <w:p w:rsidR="004D3B08" w:rsidRPr="00FF3B2F" w:rsidRDefault="004D3B08"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247.1</w:t>
            </w:r>
          </w:p>
        </w:tc>
      </w:tr>
      <w:tr w:rsidR="004D3B08" w:rsidRPr="00FF3B2F" w:rsidTr="00CC232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D3B08" w:rsidRPr="00FF3B2F" w:rsidRDefault="004D3B08" w:rsidP="00CC2321">
            <w:pPr>
              <w:jc w:val="center"/>
              <w:rPr>
                <w:rFonts w:ascii="Calibri" w:eastAsia="Times New Roman" w:hAnsi="Calibri" w:cs="Times New Roman"/>
                <w:b w:val="0"/>
                <w:bCs w:val="0"/>
                <w:color w:val="000000"/>
                <w:sz w:val="20"/>
                <w:szCs w:val="20"/>
              </w:rPr>
            </w:pPr>
            <w:r w:rsidRPr="00FF3B2F">
              <w:rPr>
                <w:rFonts w:ascii="Calibri" w:eastAsia="Times New Roman" w:hAnsi="Calibri" w:cs="Times New Roman"/>
                <w:b w:val="0"/>
                <w:bCs w:val="0"/>
                <w:color w:val="000000"/>
                <w:sz w:val="20"/>
                <w:szCs w:val="20"/>
              </w:rPr>
              <w:t>2008</w:t>
            </w:r>
          </w:p>
        </w:tc>
        <w:tc>
          <w:tcPr>
            <w:tcW w:w="0" w:type="auto"/>
            <w:vAlign w:val="center"/>
            <w:hideMark/>
          </w:tcPr>
          <w:p w:rsidR="004D3B08" w:rsidRPr="00FF3B2F" w:rsidRDefault="004D3B08"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10.6</w:t>
            </w:r>
          </w:p>
        </w:tc>
        <w:tc>
          <w:tcPr>
            <w:tcW w:w="0" w:type="auto"/>
            <w:vAlign w:val="center"/>
            <w:hideMark/>
          </w:tcPr>
          <w:p w:rsidR="004D3B08" w:rsidRPr="00FF3B2F" w:rsidRDefault="004D3B08"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12.2</w:t>
            </w:r>
          </w:p>
        </w:tc>
        <w:tc>
          <w:tcPr>
            <w:tcW w:w="0" w:type="auto"/>
            <w:vAlign w:val="center"/>
            <w:hideMark/>
          </w:tcPr>
          <w:p w:rsidR="004D3B08" w:rsidRPr="00FF3B2F" w:rsidRDefault="004D3B08"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249.0</w:t>
            </w:r>
          </w:p>
        </w:tc>
      </w:tr>
      <w:tr w:rsidR="004D3B08" w:rsidRPr="00FF3B2F" w:rsidTr="00CC232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D3B08" w:rsidRPr="00FF3B2F" w:rsidRDefault="004D3B08" w:rsidP="00CC2321">
            <w:pPr>
              <w:jc w:val="center"/>
              <w:rPr>
                <w:rFonts w:ascii="Calibri" w:eastAsia="Times New Roman" w:hAnsi="Calibri" w:cs="Times New Roman"/>
                <w:b w:val="0"/>
                <w:bCs w:val="0"/>
                <w:color w:val="000000"/>
                <w:sz w:val="20"/>
                <w:szCs w:val="20"/>
              </w:rPr>
            </w:pPr>
            <w:r w:rsidRPr="00FF3B2F">
              <w:rPr>
                <w:rFonts w:ascii="Calibri" w:eastAsia="Times New Roman" w:hAnsi="Calibri" w:cs="Times New Roman"/>
                <w:b w:val="0"/>
                <w:bCs w:val="0"/>
                <w:color w:val="000000"/>
                <w:sz w:val="20"/>
                <w:szCs w:val="20"/>
              </w:rPr>
              <w:t>2010</w:t>
            </w:r>
          </w:p>
        </w:tc>
        <w:tc>
          <w:tcPr>
            <w:tcW w:w="0" w:type="auto"/>
            <w:vAlign w:val="center"/>
            <w:hideMark/>
          </w:tcPr>
          <w:p w:rsidR="004D3B08" w:rsidRPr="00FF3B2F" w:rsidRDefault="004D3B08"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10.7</w:t>
            </w:r>
          </w:p>
        </w:tc>
        <w:tc>
          <w:tcPr>
            <w:tcW w:w="0" w:type="auto"/>
            <w:vAlign w:val="center"/>
            <w:hideMark/>
          </w:tcPr>
          <w:p w:rsidR="004D3B08" w:rsidRPr="00FF3B2F" w:rsidRDefault="004D3B08"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12.2</w:t>
            </w:r>
          </w:p>
        </w:tc>
        <w:tc>
          <w:tcPr>
            <w:tcW w:w="0" w:type="auto"/>
            <w:vAlign w:val="center"/>
            <w:hideMark/>
          </w:tcPr>
          <w:p w:rsidR="004D3B08" w:rsidRPr="00FF3B2F" w:rsidRDefault="004D3B08"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251.0</w:t>
            </w:r>
          </w:p>
        </w:tc>
      </w:tr>
      <w:tr w:rsidR="004D3B08" w:rsidRPr="00FF3B2F" w:rsidTr="00CC232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D3B08" w:rsidRPr="00FF3B2F" w:rsidRDefault="004D3B08" w:rsidP="00CC2321">
            <w:pPr>
              <w:jc w:val="center"/>
              <w:rPr>
                <w:rFonts w:ascii="Calibri" w:eastAsia="Times New Roman" w:hAnsi="Calibri" w:cs="Times New Roman"/>
                <w:b w:val="0"/>
                <w:bCs w:val="0"/>
                <w:color w:val="000000"/>
                <w:sz w:val="20"/>
                <w:szCs w:val="20"/>
              </w:rPr>
            </w:pPr>
            <w:r w:rsidRPr="00FF3B2F">
              <w:rPr>
                <w:rFonts w:ascii="Calibri" w:eastAsia="Times New Roman" w:hAnsi="Calibri" w:cs="Times New Roman"/>
                <w:b w:val="0"/>
                <w:bCs w:val="0"/>
                <w:color w:val="000000"/>
                <w:sz w:val="20"/>
                <w:szCs w:val="20"/>
              </w:rPr>
              <w:t>2012</w:t>
            </w:r>
          </w:p>
        </w:tc>
        <w:tc>
          <w:tcPr>
            <w:tcW w:w="0" w:type="auto"/>
            <w:vAlign w:val="center"/>
            <w:hideMark/>
          </w:tcPr>
          <w:p w:rsidR="004D3B08" w:rsidRPr="00FF3B2F" w:rsidRDefault="004D3B08"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9.6</w:t>
            </w:r>
          </w:p>
        </w:tc>
        <w:tc>
          <w:tcPr>
            <w:tcW w:w="0" w:type="auto"/>
            <w:vAlign w:val="center"/>
            <w:hideMark/>
          </w:tcPr>
          <w:p w:rsidR="004D3B08" w:rsidRPr="00FF3B2F" w:rsidRDefault="004D3B08"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11.1</w:t>
            </w:r>
          </w:p>
        </w:tc>
        <w:tc>
          <w:tcPr>
            <w:tcW w:w="0" w:type="auto"/>
            <w:vAlign w:val="center"/>
            <w:hideMark/>
          </w:tcPr>
          <w:p w:rsidR="004D3B08" w:rsidRPr="00FF3B2F" w:rsidRDefault="004D3B08"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229.6</w:t>
            </w:r>
          </w:p>
        </w:tc>
      </w:tr>
    </w:tbl>
    <w:p w:rsidR="004D3B08" w:rsidRPr="00FA4D9D" w:rsidRDefault="004D3B08" w:rsidP="004D3B08">
      <w:pPr>
        <w:spacing w:after="0" w:line="240" w:lineRule="auto"/>
        <w:jc w:val="both"/>
        <w:rPr>
          <w:rFonts w:cs="Times New Roman"/>
          <w:sz w:val="20"/>
          <w:szCs w:val="20"/>
        </w:rPr>
      </w:pPr>
    </w:p>
    <w:p w:rsidR="004D3B08" w:rsidRPr="00077A0D" w:rsidRDefault="004D3B08" w:rsidP="004D3B08">
      <w:pPr>
        <w:pStyle w:val="Caption"/>
        <w:keepNext/>
        <w:spacing w:after="0"/>
        <w:jc w:val="center"/>
        <w:rPr>
          <w:color w:val="auto"/>
          <w:sz w:val="20"/>
          <w:szCs w:val="20"/>
        </w:rPr>
      </w:pPr>
      <w:bookmarkStart w:id="47" w:name="_Toc377544434"/>
      <w:r w:rsidRPr="00820B56">
        <w:rPr>
          <w:color w:val="auto"/>
          <w:sz w:val="20"/>
          <w:szCs w:val="20"/>
        </w:rPr>
        <w:t xml:space="preserve">Table </w:t>
      </w:r>
      <w:r w:rsidR="00EF653E" w:rsidRPr="00820B56">
        <w:rPr>
          <w:color w:val="auto"/>
          <w:sz w:val="20"/>
          <w:szCs w:val="20"/>
        </w:rPr>
        <w:fldChar w:fldCharType="begin"/>
      </w:r>
      <w:r w:rsidRPr="00820B56">
        <w:rPr>
          <w:color w:val="auto"/>
          <w:sz w:val="20"/>
          <w:szCs w:val="20"/>
        </w:rPr>
        <w:instrText xml:space="preserve"> SEQ Table \* ARABIC </w:instrText>
      </w:r>
      <w:r w:rsidR="00EF653E" w:rsidRPr="00820B56">
        <w:rPr>
          <w:color w:val="auto"/>
          <w:sz w:val="20"/>
          <w:szCs w:val="20"/>
        </w:rPr>
        <w:fldChar w:fldCharType="separate"/>
      </w:r>
      <w:r w:rsidR="003401C7">
        <w:rPr>
          <w:noProof/>
          <w:color w:val="auto"/>
          <w:sz w:val="20"/>
          <w:szCs w:val="20"/>
        </w:rPr>
        <w:t>9</w:t>
      </w:r>
      <w:r w:rsidR="00EF653E" w:rsidRPr="00820B56">
        <w:rPr>
          <w:color w:val="auto"/>
          <w:sz w:val="20"/>
          <w:szCs w:val="20"/>
        </w:rPr>
        <w:fldChar w:fldCharType="end"/>
      </w:r>
      <w:r w:rsidRPr="00820B56">
        <w:rPr>
          <w:color w:val="auto"/>
          <w:sz w:val="20"/>
          <w:szCs w:val="20"/>
          <w:lang w:val="en-GB"/>
        </w:rPr>
        <w:t xml:space="preserve">: </w:t>
      </w:r>
      <w:r w:rsidRPr="00A90BAA">
        <w:rPr>
          <w:color w:val="000000" w:themeColor="text1"/>
          <w:sz w:val="20"/>
          <w:szCs w:val="20"/>
          <w:lang w:val="en-GB"/>
        </w:rPr>
        <w:t xml:space="preserve">A comparison between the average fuel </w:t>
      </w:r>
      <w:r>
        <w:rPr>
          <w:color w:val="000000" w:themeColor="text1"/>
          <w:sz w:val="20"/>
          <w:szCs w:val="20"/>
          <w:lang w:val="en-GB"/>
        </w:rPr>
        <w:t>economy</w:t>
      </w:r>
      <w:r w:rsidRPr="00A90BAA">
        <w:rPr>
          <w:color w:val="000000" w:themeColor="text1"/>
          <w:sz w:val="20"/>
          <w:szCs w:val="20"/>
          <w:lang w:val="en-GB"/>
        </w:rPr>
        <w:t xml:space="preserve"> of new LDVs registered in Bahrain</w:t>
      </w:r>
      <w:r>
        <w:rPr>
          <w:color w:val="000000" w:themeColor="text1"/>
          <w:sz w:val="20"/>
          <w:szCs w:val="20"/>
          <w:lang w:val="en-GB"/>
        </w:rPr>
        <w:t>, USA, OECD, and non-OECD countries</w:t>
      </w:r>
      <w:r w:rsidRPr="00A90BAA">
        <w:rPr>
          <w:color w:val="000000" w:themeColor="text1"/>
          <w:sz w:val="20"/>
          <w:szCs w:val="20"/>
          <w:lang w:val="en-GB"/>
        </w:rPr>
        <w:t xml:space="preserve"> in 2005, 2008, 2010 and 2012 (L/100 km, CAFE)</w:t>
      </w:r>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622"/>
        <w:gridCol w:w="622"/>
        <w:gridCol w:w="622"/>
        <w:gridCol w:w="622"/>
      </w:tblGrid>
      <w:tr w:rsidR="004D3B08" w:rsidRPr="00077A0D" w:rsidTr="00CC2321">
        <w:trPr>
          <w:jc w:val="center"/>
        </w:trPr>
        <w:tc>
          <w:tcPr>
            <w:tcW w:w="0" w:type="auto"/>
            <w:tcBorders>
              <w:bottom w:val="single" w:sz="4" w:space="0" w:color="auto"/>
            </w:tcBorders>
            <w:shd w:val="clear" w:color="auto" w:fill="000000" w:themeFill="text1"/>
            <w:vAlign w:val="center"/>
          </w:tcPr>
          <w:p w:rsidR="004D3B08" w:rsidRPr="00077A0D" w:rsidRDefault="004D3B08" w:rsidP="00CC2321">
            <w:pPr>
              <w:spacing w:after="0" w:line="240" w:lineRule="auto"/>
              <w:jc w:val="center"/>
              <w:rPr>
                <w:rFonts w:cs="Times New Roman"/>
                <w:b/>
                <w:bCs/>
                <w:noProof/>
                <w:sz w:val="20"/>
                <w:szCs w:val="20"/>
              </w:rPr>
            </w:pPr>
            <w:r w:rsidRPr="00077A0D">
              <w:rPr>
                <w:rFonts w:cs="Times New Roman"/>
                <w:b/>
                <w:bCs/>
                <w:noProof/>
                <w:sz w:val="20"/>
                <w:szCs w:val="20"/>
              </w:rPr>
              <w:br w:type="page"/>
              <w:t>Year</w:t>
            </w:r>
          </w:p>
        </w:tc>
        <w:tc>
          <w:tcPr>
            <w:tcW w:w="0" w:type="auto"/>
            <w:tcBorders>
              <w:bottom w:val="single" w:sz="4" w:space="0" w:color="auto"/>
            </w:tcBorders>
            <w:shd w:val="clear" w:color="auto" w:fill="000000" w:themeFill="text1"/>
            <w:vAlign w:val="center"/>
          </w:tcPr>
          <w:p w:rsidR="004D3B08" w:rsidRPr="00077A0D" w:rsidRDefault="004D3B08" w:rsidP="00CC2321">
            <w:pPr>
              <w:spacing w:after="0" w:line="240" w:lineRule="auto"/>
              <w:jc w:val="center"/>
              <w:rPr>
                <w:rFonts w:cs="Times New Roman"/>
                <w:b/>
                <w:bCs/>
                <w:noProof/>
                <w:sz w:val="20"/>
                <w:szCs w:val="20"/>
              </w:rPr>
            </w:pPr>
            <w:r w:rsidRPr="00077A0D">
              <w:rPr>
                <w:rFonts w:cs="Times New Roman"/>
                <w:b/>
                <w:bCs/>
                <w:noProof/>
                <w:sz w:val="20"/>
                <w:szCs w:val="20"/>
              </w:rPr>
              <w:t>2005</w:t>
            </w:r>
          </w:p>
        </w:tc>
        <w:tc>
          <w:tcPr>
            <w:tcW w:w="0" w:type="auto"/>
            <w:tcBorders>
              <w:bottom w:val="single" w:sz="4" w:space="0" w:color="auto"/>
            </w:tcBorders>
            <w:shd w:val="clear" w:color="auto" w:fill="000000" w:themeFill="text1"/>
            <w:vAlign w:val="center"/>
          </w:tcPr>
          <w:p w:rsidR="004D3B08" w:rsidRPr="00077A0D" w:rsidRDefault="004D3B08" w:rsidP="00CC2321">
            <w:pPr>
              <w:spacing w:after="0" w:line="240" w:lineRule="auto"/>
              <w:jc w:val="center"/>
              <w:rPr>
                <w:rFonts w:cs="Times New Roman"/>
                <w:b/>
                <w:bCs/>
                <w:noProof/>
                <w:sz w:val="20"/>
                <w:szCs w:val="20"/>
              </w:rPr>
            </w:pPr>
            <w:r w:rsidRPr="00077A0D">
              <w:rPr>
                <w:rFonts w:cs="Times New Roman"/>
                <w:b/>
                <w:bCs/>
                <w:noProof/>
                <w:sz w:val="20"/>
                <w:szCs w:val="20"/>
              </w:rPr>
              <w:t>2008</w:t>
            </w:r>
          </w:p>
        </w:tc>
        <w:tc>
          <w:tcPr>
            <w:tcW w:w="0" w:type="auto"/>
            <w:tcBorders>
              <w:bottom w:val="single" w:sz="4" w:space="0" w:color="auto"/>
            </w:tcBorders>
            <w:shd w:val="clear" w:color="auto" w:fill="000000" w:themeFill="text1"/>
            <w:vAlign w:val="center"/>
          </w:tcPr>
          <w:p w:rsidR="004D3B08" w:rsidRPr="00077A0D" w:rsidRDefault="004D3B08" w:rsidP="00CC2321">
            <w:pPr>
              <w:spacing w:after="0" w:line="240" w:lineRule="auto"/>
              <w:jc w:val="center"/>
              <w:rPr>
                <w:rFonts w:cs="Times New Roman"/>
                <w:b/>
                <w:bCs/>
                <w:noProof/>
                <w:sz w:val="20"/>
                <w:szCs w:val="20"/>
              </w:rPr>
            </w:pPr>
            <w:r w:rsidRPr="00077A0D">
              <w:rPr>
                <w:rFonts w:cs="Times New Roman"/>
                <w:b/>
                <w:bCs/>
                <w:noProof/>
                <w:sz w:val="20"/>
                <w:szCs w:val="20"/>
              </w:rPr>
              <w:t>2010</w:t>
            </w:r>
          </w:p>
        </w:tc>
        <w:tc>
          <w:tcPr>
            <w:tcW w:w="0" w:type="auto"/>
            <w:tcBorders>
              <w:bottom w:val="single" w:sz="4" w:space="0" w:color="auto"/>
            </w:tcBorders>
            <w:shd w:val="clear" w:color="auto" w:fill="000000" w:themeFill="text1"/>
            <w:vAlign w:val="center"/>
          </w:tcPr>
          <w:p w:rsidR="004D3B08" w:rsidRPr="00077A0D" w:rsidRDefault="004D3B08" w:rsidP="00CC2321">
            <w:pPr>
              <w:spacing w:after="0" w:line="240" w:lineRule="auto"/>
              <w:jc w:val="center"/>
              <w:rPr>
                <w:rFonts w:cs="Times New Roman"/>
                <w:b/>
                <w:bCs/>
                <w:noProof/>
                <w:sz w:val="20"/>
                <w:szCs w:val="20"/>
              </w:rPr>
            </w:pPr>
            <w:r w:rsidRPr="00077A0D">
              <w:rPr>
                <w:rFonts w:cs="Times New Roman"/>
                <w:b/>
                <w:bCs/>
                <w:noProof/>
                <w:sz w:val="20"/>
                <w:szCs w:val="20"/>
              </w:rPr>
              <w:t>2012</w:t>
            </w:r>
          </w:p>
        </w:tc>
      </w:tr>
      <w:tr w:rsidR="004D3B08" w:rsidRPr="00077A0D" w:rsidTr="00CC2321">
        <w:trPr>
          <w:jc w:val="center"/>
        </w:trPr>
        <w:tc>
          <w:tcPr>
            <w:tcW w:w="0" w:type="auto"/>
            <w:tcBorders>
              <w:bottom w:val="single" w:sz="4" w:space="0" w:color="auto"/>
              <w:right w:val="nil"/>
            </w:tcBorders>
            <w:shd w:val="clear" w:color="auto" w:fill="auto"/>
            <w:vAlign w:val="center"/>
          </w:tcPr>
          <w:p w:rsidR="004D3B08" w:rsidRPr="00421751" w:rsidRDefault="004D3B08" w:rsidP="00CC2321">
            <w:pPr>
              <w:spacing w:after="0" w:line="240" w:lineRule="auto"/>
              <w:rPr>
                <w:rFonts w:ascii="Calibri" w:hAnsi="Calibri"/>
                <w:color w:val="000000"/>
                <w:sz w:val="20"/>
                <w:szCs w:val="20"/>
              </w:rPr>
            </w:pPr>
            <w:r w:rsidRPr="00421751">
              <w:rPr>
                <w:rFonts w:ascii="Calibri" w:hAnsi="Calibri"/>
                <w:noProof/>
                <w:color w:val="000000"/>
                <w:sz w:val="20"/>
                <w:szCs w:val="20"/>
              </w:rPr>
              <w:t>Bahrain</w:t>
            </w:r>
          </w:p>
        </w:tc>
        <w:tc>
          <w:tcPr>
            <w:tcW w:w="0" w:type="auto"/>
            <w:tcBorders>
              <w:left w:val="nil"/>
              <w:bottom w:val="single" w:sz="4" w:space="0" w:color="auto"/>
              <w:right w:val="nil"/>
            </w:tcBorders>
            <w:vAlign w:val="center"/>
          </w:tcPr>
          <w:p w:rsidR="004D3B08" w:rsidRDefault="004D3B08" w:rsidP="00CC2321">
            <w:pPr>
              <w:spacing w:after="0" w:line="240" w:lineRule="auto"/>
              <w:jc w:val="center"/>
              <w:rPr>
                <w:rFonts w:ascii="Calibri" w:hAnsi="Calibri"/>
                <w:color w:val="000000"/>
                <w:sz w:val="20"/>
                <w:szCs w:val="20"/>
              </w:rPr>
            </w:pPr>
            <w:r>
              <w:rPr>
                <w:rFonts w:ascii="Calibri" w:hAnsi="Calibri"/>
                <w:color w:val="000000"/>
                <w:sz w:val="20"/>
                <w:szCs w:val="20"/>
              </w:rPr>
              <w:t>10.5</w:t>
            </w:r>
          </w:p>
        </w:tc>
        <w:tc>
          <w:tcPr>
            <w:tcW w:w="0" w:type="auto"/>
            <w:tcBorders>
              <w:left w:val="nil"/>
              <w:bottom w:val="single" w:sz="4" w:space="0" w:color="auto"/>
              <w:right w:val="nil"/>
            </w:tcBorders>
            <w:vAlign w:val="center"/>
          </w:tcPr>
          <w:p w:rsidR="004D3B08" w:rsidRDefault="004D3B08" w:rsidP="00CC2321">
            <w:pPr>
              <w:spacing w:after="0" w:line="240" w:lineRule="auto"/>
              <w:jc w:val="center"/>
              <w:rPr>
                <w:rFonts w:ascii="Calibri" w:hAnsi="Calibri"/>
                <w:color w:val="000000"/>
                <w:sz w:val="20"/>
                <w:szCs w:val="20"/>
              </w:rPr>
            </w:pPr>
            <w:r>
              <w:rPr>
                <w:rFonts w:ascii="Calibri" w:hAnsi="Calibri"/>
                <w:color w:val="000000"/>
                <w:sz w:val="20"/>
                <w:szCs w:val="20"/>
              </w:rPr>
              <w:t>10.6</w:t>
            </w:r>
          </w:p>
        </w:tc>
        <w:tc>
          <w:tcPr>
            <w:tcW w:w="0" w:type="auto"/>
            <w:tcBorders>
              <w:left w:val="nil"/>
              <w:bottom w:val="single" w:sz="4" w:space="0" w:color="auto"/>
              <w:right w:val="nil"/>
            </w:tcBorders>
            <w:vAlign w:val="center"/>
          </w:tcPr>
          <w:p w:rsidR="004D3B08" w:rsidRDefault="004D3B08" w:rsidP="00CC2321">
            <w:pPr>
              <w:spacing w:after="0" w:line="240" w:lineRule="auto"/>
              <w:jc w:val="center"/>
              <w:rPr>
                <w:rFonts w:ascii="Calibri" w:hAnsi="Calibri"/>
                <w:color w:val="000000"/>
                <w:sz w:val="20"/>
                <w:szCs w:val="20"/>
              </w:rPr>
            </w:pPr>
            <w:r>
              <w:rPr>
                <w:rFonts w:ascii="Calibri" w:hAnsi="Calibri"/>
                <w:color w:val="000000"/>
                <w:sz w:val="20"/>
                <w:szCs w:val="20"/>
              </w:rPr>
              <w:t>10.7</w:t>
            </w:r>
          </w:p>
        </w:tc>
        <w:tc>
          <w:tcPr>
            <w:tcW w:w="0" w:type="auto"/>
            <w:tcBorders>
              <w:left w:val="nil"/>
              <w:bottom w:val="single" w:sz="4" w:space="0" w:color="auto"/>
            </w:tcBorders>
            <w:vAlign w:val="center"/>
          </w:tcPr>
          <w:p w:rsidR="004D3B08" w:rsidRDefault="004D3B08" w:rsidP="00CC2321">
            <w:pPr>
              <w:spacing w:after="0" w:line="240" w:lineRule="auto"/>
              <w:jc w:val="center"/>
              <w:rPr>
                <w:rFonts w:ascii="Calibri" w:hAnsi="Calibri"/>
                <w:color w:val="000000"/>
                <w:sz w:val="20"/>
                <w:szCs w:val="20"/>
              </w:rPr>
            </w:pPr>
            <w:r>
              <w:rPr>
                <w:rFonts w:ascii="Calibri" w:hAnsi="Calibri"/>
                <w:color w:val="000000"/>
                <w:sz w:val="20"/>
                <w:szCs w:val="20"/>
              </w:rPr>
              <w:t>9.6</w:t>
            </w:r>
          </w:p>
        </w:tc>
      </w:tr>
      <w:tr w:rsidR="004D3B08" w:rsidRPr="00077A0D" w:rsidTr="00CC2321">
        <w:trPr>
          <w:jc w:val="center"/>
        </w:trPr>
        <w:tc>
          <w:tcPr>
            <w:tcW w:w="0" w:type="auto"/>
            <w:tcBorders>
              <w:top w:val="single" w:sz="4" w:space="0" w:color="auto"/>
              <w:bottom w:val="single" w:sz="4" w:space="0" w:color="auto"/>
              <w:right w:val="nil"/>
            </w:tcBorders>
            <w:shd w:val="clear" w:color="auto" w:fill="auto"/>
            <w:vAlign w:val="center"/>
          </w:tcPr>
          <w:p w:rsidR="004D3B08" w:rsidRPr="00421751" w:rsidRDefault="004D3B08" w:rsidP="00CC2321">
            <w:pPr>
              <w:spacing w:after="0" w:line="240" w:lineRule="auto"/>
              <w:rPr>
                <w:rFonts w:ascii="Calibri" w:hAnsi="Calibri"/>
                <w:color w:val="000000"/>
                <w:sz w:val="20"/>
                <w:szCs w:val="20"/>
              </w:rPr>
            </w:pPr>
            <w:r w:rsidRPr="00421751">
              <w:rPr>
                <w:rFonts w:ascii="Calibri" w:hAnsi="Calibri"/>
                <w:noProof/>
                <w:color w:val="000000"/>
                <w:sz w:val="20"/>
                <w:szCs w:val="20"/>
              </w:rPr>
              <w:t>USA</w:t>
            </w:r>
            <w:r>
              <w:rPr>
                <w:rFonts w:ascii="Calibri" w:hAnsi="Calibri"/>
                <w:noProof/>
                <w:color w:val="000000"/>
                <w:sz w:val="20"/>
                <w:szCs w:val="20"/>
              </w:rPr>
              <w:t>*</w:t>
            </w:r>
          </w:p>
        </w:tc>
        <w:tc>
          <w:tcPr>
            <w:tcW w:w="0" w:type="auto"/>
            <w:tcBorders>
              <w:top w:val="single" w:sz="4" w:space="0" w:color="auto"/>
              <w:left w:val="nil"/>
              <w:bottom w:val="single" w:sz="4" w:space="0" w:color="auto"/>
              <w:right w:val="nil"/>
            </w:tcBorders>
            <w:vAlign w:val="center"/>
          </w:tcPr>
          <w:p w:rsidR="004D3B08" w:rsidRDefault="004D3B08" w:rsidP="00CC2321">
            <w:pPr>
              <w:spacing w:after="0" w:line="240" w:lineRule="auto"/>
              <w:jc w:val="center"/>
              <w:rPr>
                <w:rFonts w:ascii="Calibri" w:hAnsi="Calibri"/>
                <w:color w:val="000000"/>
                <w:sz w:val="20"/>
                <w:szCs w:val="20"/>
              </w:rPr>
            </w:pPr>
            <w:r>
              <w:rPr>
                <w:rFonts w:ascii="Calibri" w:hAnsi="Calibri"/>
                <w:color w:val="000000"/>
                <w:sz w:val="20"/>
                <w:szCs w:val="20"/>
              </w:rPr>
              <w:t>7.8</w:t>
            </w:r>
          </w:p>
        </w:tc>
        <w:tc>
          <w:tcPr>
            <w:tcW w:w="0" w:type="auto"/>
            <w:tcBorders>
              <w:top w:val="single" w:sz="4" w:space="0" w:color="auto"/>
              <w:left w:val="nil"/>
              <w:bottom w:val="single" w:sz="4" w:space="0" w:color="auto"/>
              <w:right w:val="nil"/>
            </w:tcBorders>
            <w:vAlign w:val="center"/>
          </w:tcPr>
          <w:p w:rsidR="004D3B08" w:rsidRDefault="004D3B08" w:rsidP="00CC2321">
            <w:pPr>
              <w:spacing w:after="0" w:line="240" w:lineRule="auto"/>
              <w:jc w:val="center"/>
              <w:rPr>
                <w:rFonts w:ascii="Calibri" w:hAnsi="Calibri"/>
                <w:color w:val="000000"/>
                <w:sz w:val="20"/>
                <w:szCs w:val="20"/>
              </w:rPr>
            </w:pPr>
            <w:r>
              <w:rPr>
                <w:rFonts w:ascii="Calibri" w:hAnsi="Calibri"/>
                <w:color w:val="000000"/>
                <w:sz w:val="20"/>
                <w:szCs w:val="20"/>
              </w:rPr>
              <w:t>7.5</w:t>
            </w:r>
          </w:p>
        </w:tc>
        <w:tc>
          <w:tcPr>
            <w:tcW w:w="0" w:type="auto"/>
            <w:tcBorders>
              <w:top w:val="single" w:sz="4" w:space="0" w:color="auto"/>
              <w:left w:val="nil"/>
              <w:bottom w:val="single" w:sz="4" w:space="0" w:color="auto"/>
              <w:right w:val="nil"/>
            </w:tcBorders>
            <w:vAlign w:val="center"/>
          </w:tcPr>
          <w:p w:rsidR="004D3B08" w:rsidRDefault="004D3B08" w:rsidP="00CC2321">
            <w:pPr>
              <w:spacing w:after="0" w:line="240" w:lineRule="auto"/>
              <w:jc w:val="center"/>
              <w:rPr>
                <w:rFonts w:ascii="Calibri" w:hAnsi="Calibri"/>
                <w:color w:val="000000"/>
                <w:sz w:val="20"/>
                <w:szCs w:val="20"/>
              </w:rPr>
            </w:pPr>
            <w:r>
              <w:rPr>
                <w:rFonts w:ascii="Calibri" w:hAnsi="Calibri"/>
                <w:color w:val="000000"/>
                <w:sz w:val="20"/>
                <w:szCs w:val="20"/>
              </w:rPr>
              <w:t>7</w:t>
            </w:r>
          </w:p>
        </w:tc>
        <w:tc>
          <w:tcPr>
            <w:tcW w:w="0" w:type="auto"/>
            <w:tcBorders>
              <w:top w:val="single" w:sz="4" w:space="0" w:color="auto"/>
              <w:left w:val="nil"/>
              <w:bottom w:val="single" w:sz="4" w:space="0" w:color="auto"/>
            </w:tcBorders>
            <w:vAlign w:val="center"/>
          </w:tcPr>
          <w:p w:rsidR="004D3B08" w:rsidRDefault="004D3B08" w:rsidP="00CC2321">
            <w:pPr>
              <w:spacing w:after="0" w:line="240" w:lineRule="auto"/>
              <w:jc w:val="center"/>
              <w:rPr>
                <w:rFonts w:ascii="Calibri" w:hAnsi="Calibri"/>
                <w:color w:val="000000"/>
                <w:sz w:val="20"/>
                <w:szCs w:val="20"/>
              </w:rPr>
            </w:pPr>
            <w:r>
              <w:rPr>
                <w:rFonts w:ascii="Calibri" w:hAnsi="Calibri"/>
                <w:color w:val="000000"/>
                <w:sz w:val="20"/>
                <w:szCs w:val="20"/>
              </w:rPr>
              <w:t>6.6</w:t>
            </w:r>
          </w:p>
        </w:tc>
      </w:tr>
    </w:tbl>
    <w:p w:rsidR="00806F41" w:rsidRDefault="004D3B08" w:rsidP="004D3B08">
      <w:pPr>
        <w:spacing w:after="0" w:line="240" w:lineRule="auto"/>
        <w:jc w:val="center"/>
        <w:rPr>
          <w:rFonts w:cs="Times New Roman"/>
          <w:sz w:val="20"/>
          <w:szCs w:val="20"/>
        </w:rPr>
      </w:pPr>
      <w:r w:rsidRPr="00BD4A0E">
        <w:rPr>
          <w:sz w:val="20"/>
          <w:szCs w:val="20"/>
        </w:rPr>
        <w:t xml:space="preserve">Source: </w:t>
      </w:r>
      <w:r>
        <w:rPr>
          <w:sz w:val="20"/>
          <w:szCs w:val="20"/>
        </w:rPr>
        <w:t>*</w:t>
      </w:r>
      <w:r w:rsidRPr="00BD4A0E">
        <w:rPr>
          <w:sz w:val="20"/>
          <w:szCs w:val="20"/>
        </w:rPr>
        <w:t>RITA, 2013</w:t>
      </w:r>
    </w:p>
    <w:p w:rsidR="004D3B08" w:rsidRDefault="004D3B08" w:rsidP="004D3B08">
      <w:pPr>
        <w:spacing w:after="0" w:line="240" w:lineRule="auto"/>
        <w:jc w:val="center"/>
        <w:rPr>
          <w:rFonts w:cs="Times New Roman"/>
          <w:sz w:val="20"/>
          <w:szCs w:val="20"/>
        </w:rPr>
      </w:pPr>
    </w:p>
    <w:p w:rsidR="004D3B08" w:rsidRPr="00E9234B" w:rsidRDefault="004D3B08" w:rsidP="004D3B08">
      <w:pPr>
        <w:pStyle w:val="Caption"/>
        <w:keepNext/>
        <w:spacing w:after="0"/>
        <w:jc w:val="center"/>
        <w:rPr>
          <w:color w:val="auto"/>
          <w:sz w:val="20"/>
          <w:szCs w:val="20"/>
        </w:rPr>
      </w:pPr>
      <w:bookmarkStart w:id="48" w:name="_Toc377544435"/>
      <w:r w:rsidRPr="00E9234B">
        <w:rPr>
          <w:color w:val="auto"/>
          <w:sz w:val="20"/>
          <w:szCs w:val="20"/>
        </w:rPr>
        <w:t xml:space="preserve">Table </w:t>
      </w:r>
      <w:r w:rsidR="00EF653E" w:rsidRPr="00E9234B">
        <w:rPr>
          <w:color w:val="auto"/>
          <w:sz w:val="20"/>
          <w:szCs w:val="20"/>
        </w:rPr>
        <w:fldChar w:fldCharType="begin"/>
      </w:r>
      <w:r w:rsidRPr="00E9234B">
        <w:rPr>
          <w:color w:val="auto"/>
          <w:sz w:val="20"/>
          <w:szCs w:val="20"/>
        </w:rPr>
        <w:instrText xml:space="preserve"> SEQ Table \* ARABIC </w:instrText>
      </w:r>
      <w:r w:rsidR="00EF653E" w:rsidRPr="00E9234B">
        <w:rPr>
          <w:color w:val="auto"/>
          <w:sz w:val="20"/>
          <w:szCs w:val="20"/>
        </w:rPr>
        <w:fldChar w:fldCharType="separate"/>
      </w:r>
      <w:r w:rsidR="003401C7">
        <w:rPr>
          <w:noProof/>
          <w:color w:val="auto"/>
          <w:sz w:val="20"/>
          <w:szCs w:val="20"/>
        </w:rPr>
        <w:t>10</w:t>
      </w:r>
      <w:r w:rsidR="00EF653E" w:rsidRPr="00E9234B">
        <w:rPr>
          <w:color w:val="auto"/>
          <w:sz w:val="20"/>
          <w:szCs w:val="20"/>
        </w:rPr>
        <w:fldChar w:fldCharType="end"/>
      </w:r>
      <w:r w:rsidRPr="00E9234B">
        <w:rPr>
          <w:color w:val="auto"/>
          <w:sz w:val="20"/>
          <w:szCs w:val="20"/>
          <w:lang w:val="en-GB"/>
        </w:rPr>
        <w:t xml:space="preserve">: </w:t>
      </w:r>
      <w:r w:rsidRPr="00E9234B">
        <w:rPr>
          <w:color w:val="000000" w:themeColor="text1"/>
          <w:sz w:val="20"/>
          <w:szCs w:val="20"/>
          <w:lang w:val="en-GB"/>
        </w:rPr>
        <w:t>A comparison between the average fuel economy of new LDVs registered in Bahrain, OECD, and non-OECD countries in 2005, 2008, 2010 and 2012 (L/100 km, CAFE)</w:t>
      </w:r>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622"/>
        <w:gridCol w:w="622"/>
        <w:gridCol w:w="622"/>
        <w:gridCol w:w="622"/>
      </w:tblGrid>
      <w:tr w:rsidR="004D3B08" w:rsidRPr="00E9234B" w:rsidTr="00CC2321">
        <w:trPr>
          <w:jc w:val="center"/>
        </w:trPr>
        <w:tc>
          <w:tcPr>
            <w:tcW w:w="0" w:type="auto"/>
            <w:tcBorders>
              <w:bottom w:val="single" w:sz="4" w:space="0" w:color="auto"/>
            </w:tcBorders>
            <w:shd w:val="clear" w:color="auto" w:fill="000000" w:themeFill="text1"/>
            <w:vAlign w:val="center"/>
          </w:tcPr>
          <w:p w:rsidR="004D3B08" w:rsidRPr="00E9234B" w:rsidRDefault="004D3B08" w:rsidP="00CC2321">
            <w:pPr>
              <w:spacing w:after="0" w:line="240" w:lineRule="auto"/>
              <w:jc w:val="center"/>
              <w:rPr>
                <w:rFonts w:cs="Times New Roman"/>
                <w:b/>
                <w:bCs/>
                <w:noProof/>
                <w:sz w:val="20"/>
                <w:szCs w:val="20"/>
              </w:rPr>
            </w:pPr>
            <w:r w:rsidRPr="00E9234B">
              <w:rPr>
                <w:rFonts w:cs="Times New Roman"/>
                <w:b/>
                <w:bCs/>
                <w:noProof/>
                <w:sz w:val="20"/>
                <w:szCs w:val="20"/>
              </w:rPr>
              <w:br w:type="page"/>
              <w:t>Year</w:t>
            </w:r>
          </w:p>
        </w:tc>
        <w:tc>
          <w:tcPr>
            <w:tcW w:w="0" w:type="auto"/>
            <w:tcBorders>
              <w:bottom w:val="single" w:sz="4" w:space="0" w:color="auto"/>
            </w:tcBorders>
            <w:shd w:val="clear" w:color="auto" w:fill="000000" w:themeFill="text1"/>
            <w:vAlign w:val="center"/>
          </w:tcPr>
          <w:p w:rsidR="004D3B08" w:rsidRPr="00E9234B" w:rsidRDefault="004D3B08" w:rsidP="00CC2321">
            <w:pPr>
              <w:spacing w:after="0" w:line="240" w:lineRule="auto"/>
              <w:jc w:val="center"/>
              <w:rPr>
                <w:rFonts w:cs="Times New Roman"/>
                <w:b/>
                <w:bCs/>
                <w:noProof/>
                <w:sz w:val="20"/>
                <w:szCs w:val="20"/>
              </w:rPr>
            </w:pPr>
            <w:r w:rsidRPr="00E9234B">
              <w:rPr>
                <w:rFonts w:cs="Times New Roman"/>
                <w:b/>
                <w:bCs/>
                <w:noProof/>
                <w:sz w:val="20"/>
                <w:szCs w:val="20"/>
              </w:rPr>
              <w:t>2005</w:t>
            </w:r>
          </w:p>
        </w:tc>
        <w:tc>
          <w:tcPr>
            <w:tcW w:w="0" w:type="auto"/>
            <w:tcBorders>
              <w:bottom w:val="single" w:sz="4" w:space="0" w:color="auto"/>
            </w:tcBorders>
            <w:shd w:val="clear" w:color="auto" w:fill="000000" w:themeFill="text1"/>
            <w:vAlign w:val="center"/>
          </w:tcPr>
          <w:p w:rsidR="004D3B08" w:rsidRPr="00E9234B" w:rsidRDefault="004D3B08" w:rsidP="00CC2321">
            <w:pPr>
              <w:spacing w:after="0" w:line="240" w:lineRule="auto"/>
              <w:jc w:val="center"/>
              <w:rPr>
                <w:rFonts w:cs="Times New Roman"/>
                <w:b/>
                <w:bCs/>
                <w:noProof/>
                <w:sz w:val="20"/>
                <w:szCs w:val="20"/>
              </w:rPr>
            </w:pPr>
            <w:r w:rsidRPr="00E9234B">
              <w:rPr>
                <w:rFonts w:cs="Times New Roman"/>
                <w:b/>
                <w:bCs/>
                <w:noProof/>
                <w:sz w:val="20"/>
                <w:szCs w:val="20"/>
              </w:rPr>
              <w:t>2008</w:t>
            </w:r>
          </w:p>
        </w:tc>
        <w:tc>
          <w:tcPr>
            <w:tcW w:w="0" w:type="auto"/>
            <w:tcBorders>
              <w:bottom w:val="single" w:sz="4" w:space="0" w:color="auto"/>
            </w:tcBorders>
            <w:shd w:val="clear" w:color="auto" w:fill="000000" w:themeFill="text1"/>
            <w:vAlign w:val="center"/>
          </w:tcPr>
          <w:p w:rsidR="004D3B08" w:rsidRPr="00E9234B" w:rsidRDefault="004D3B08" w:rsidP="00CC2321">
            <w:pPr>
              <w:spacing w:after="0" w:line="240" w:lineRule="auto"/>
              <w:jc w:val="center"/>
              <w:rPr>
                <w:rFonts w:cs="Times New Roman"/>
                <w:b/>
                <w:bCs/>
                <w:noProof/>
                <w:sz w:val="20"/>
                <w:szCs w:val="20"/>
              </w:rPr>
            </w:pPr>
            <w:r w:rsidRPr="00E9234B">
              <w:rPr>
                <w:rFonts w:cs="Times New Roman"/>
                <w:b/>
                <w:bCs/>
                <w:noProof/>
                <w:sz w:val="20"/>
                <w:szCs w:val="20"/>
              </w:rPr>
              <w:t>2010</w:t>
            </w:r>
          </w:p>
        </w:tc>
        <w:tc>
          <w:tcPr>
            <w:tcW w:w="0" w:type="auto"/>
            <w:tcBorders>
              <w:bottom w:val="single" w:sz="4" w:space="0" w:color="auto"/>
            </w:tcBorders>
            <w:shd w:val="clear" w:color="auto" w:fill="000000" w:themeFill="text1"/>
            <w:vAlign w:val="center"/>
          </w:tcPr>
          <w:p w:rsidR="004D3B08" w:rsidRPr="00E9234B" w:rsidRDefault="004D3B08" w:rsidP="00CC2321">
            <w:pPr>
              <w:spacing w:after="0" w:line="240" w:lineRule="auto"/>
              <w:jc w:val="center"/>
              <w:rPr>
                <w:rFonts w:cs="Times New Roman"/>
                <w:b/>
                <w:bCs/>
                <w:noProof/>
                <w:sz w:val="20"/>
                <w:szCs w:val="20"/>
              </w:rPr>
            </w:pPr>
            <w:r w:rsidRPr="00E9234B">
              <w:rPr>
                <w:rFonts w:cs="Times New Roman"/>
                <w:b/>
                <w:bCs/>
                <w:noProof/>
                <w:sz w:val="20"/>
                <w:szCs w:val="20"/>
              </w:rPr>
              <w:t>2012</w:t>
            </w:r>
          </w:p>
        </w:tc>
      </w:tr>
      <w:tr w:rsidR="004D3B08" w:rsidRPr="00E9234B" w:rsidTr="00CC2321">
        <w:trPr>
          <w:jc w:val="center"/>
        </w:trPr>
        <w:tc>
          <w:tcPr>
            <w:tcW w:w="0" w:type="auto"/>
            <w:tcBorders>
              <w:bottom w:val="single" w:sz="4" w:space="0" w:color="auto"/>
              <w:right w:val="nil"/>
            </w:tcBorders>
            <w:shd w:val="clear" w:color="auto" w:fill="auto"/>
            <w:vAlign w:val="center"/>
          </w:tcPr>
          <w:p w:rsidR="004D3B08" w:rsidRPr="00E9234B" w:rsidRDefault="004D3B08" w:rsidP="00CC2321">
            <w:pPr>
              <w:spacing w:after="0" w:line="240" w:lineRule="auto"/>
              <w:rPr>
                <w:rFonts w:ascii="Calibri" w:hAnsi="Calibri"/>
                <w:color w:val="000000"/>
                <w:sz w:val="20"/>
                <w:szCs w:val="20"/>
              </w:rPr>
            </w:pPr>
            <w:r w:rsidRPr="00E9234B">
              <w:rPr>
                <w:rFonts w:ascii="Calibri" w:hAnsi="Calibri"/>
                <w:noProof/>
                <w:color w:val="000000"/>
                <w:sz w:val="20"/>
                <w:szCs w:val="20"/>
              </w:rPr>
              <w:t>Bahrain</w:t>
            </w:r>
          </w:p>
        </w:tc>
        <w:tc>
          <w:tcPr>
            <w:tcW w:w="0" w:type="auto"/>
            <w:tcBorders>
              <w:left w:val="nil"/>
              <w:bottom w:val="single" w:sz="4" w:space="0" w:color="auto"/>
              <w:right w:val="nil"/>
            </w:tcBorders>
            <w:vAlign w:val="center"/>
          </w:tcPr>
          <w:p w:rsidR="004D3B08" w:rsidRPr="00E9234B" w:rsidRDefault="004D3B08" w:rsidP="00CC2321">
            <w:pPr>
              <w:spacing w:after="0" w:line="240" w:lineRule="auto"/>
              <w:jc w:val="center"/>
              <w:rPr>
                <w:rFonts w:ascii="Calibri" w:hAnsi="Calibri"/>
                <w:color w:val="000000"/>
                <w:sz w:val="20"/>
                <w:szCs w:val="20"/>
              </w:rPr>
            </w:pPr>
            <w:r w:rsidRPr="00E9234B">
              <w:rPr>
                <w:rFonts w:ascii="Calibri" w:hAnsi="Calibri"/>
                <w:color w:val="000000"/>
                <w:sz w:val="20"/>
                <w:szCs w:val="20"/>
              </w:rPr>
              <w:t>12.1</w:t>
            </w:r>
          </w:p>
        </w:tc>
        <w:tc>
          <w:tcPr>
            <w:tcW w:w="0" w:type="auto"/>
            <w:tcBorders>
              <w:left w:val="nil"/>
              <w:bottom w:val="single" w:sz="4" w:space="0" w:color="auto"/>
              <w:right w:val="nil"/>
            </w:tcBorders>
            <w:vAlign w:val="center"/>
          </w:tcPr>
          <w:p w:rsidR="004D3B08" w:rsidRPr="00E9234B" w:rsidRDefault="004D3B08" w:rsidP="00CC2321">
            <w:pPr>
              <w:spacing w:after="0" w:line="240" w:lineRule="auto"/>
              <w:jc w:val="center"/>
              <w:rPr>
                <w:rFonts w:ascii="Calibri" w:hAnsi="Calibri"/>
                <w:color w:val="000000"/>
                <w:sz w:val="20"/>
                <w:szCs w:val="20"/>
              </w:rPr>
            </w:pPr>
            <w:r w:rsidRPr="00E9234B">
              <w:rPr>
                <w:rFonts w:ascii="Calibri" w:hAnsi="Calibri"/>
                <w:color w:val="000000"/>
                <w:sz w:val="20"/>
                <w:szCs w:val="20"/>
              </w:rPr>
              <w:t>12.2</w:t>
            </w:r>
          </w:p>
        </w:tc>
        <w:tc>
          <w:tcPr>
            <w:tcW w:w="0" w:type="auto"/>
            <w:tcBorders>
              <w:left w:val="nil"/>
              <w:bottom w:val="single" w:sz="4" w:space="0" w:color="auto"/>
              <w:right w:val="nil"/>
            </w:tcBorders>
            <w:vAlign w:val="center"/>
          </w:tcPr>
          <w:p w:rsidR="004D3B08" w:rsidRPr="00E9234B" w:rsidRDefault="004D3B08" w:rsidP="00CC2321">
            <w:pPr>
              <w:spacing w:after="0" w:line="240" w:lineRule="auto"/>
              <w:jc w:val="center"/>
              <w:rPr>
                <w:rFonts w:ascii="Calibri" w:hAnsi="Calibri"/>
                <w:color w:val="000000"/>
                <w:sz w:val="20"/>
                <w:szCs w:val="20"/>
              </w:rPr>
            </w:pPr>
            <w:r w:rsidRPr="00E9234B">
              <w:rPr>
                <w:rFonts w:ascii="Calibri" w:hAnsi="Calibri"/>
                <w:color w:val="000000"/>
                <w:sz w:val="20"/>
                <w:szCs w:val="20"/>
              </w:rPr>
              <w:t>12.2</w:t>
            </w:r>
          </w:p>
        </w:tc>
        <w:tc>
          <w:tcPr>
            <w:tcW w:w="0" w:type="auto"/>
            <w:tcBorders>
              <w:left w:val="nil"/>
              <w:bottom w:val="single" w:sz="4" w:space="0" w:color="auto"/>
            </w:tcBorders>
            <w:vAlign w:val="center"/>
          </w:tcPr>
          <w:p w:rsidR="004D3B08" w:rsidRPr="00E9234B" w:rsidRDefault="004D3B08" w:rsidP="00CC2321">
            <w:pPr>
              <w:spacing w:after="0" w:line="240" w:lineRule="auto"/>
              <w:jc w:val="center"/>
              <w:rPr>
                <w:rFonts w:ascii="Calibri" w:hAnsi="Calibri"/>
                <w:color w:val="000000"/>
                <w:sz w:val="20"/>
                <w:szCs w:val="20"/>
              </w:rPr>
            </w:pPr>
            <w:r w:rsidRPr="00E9234B">
              <w:rPr>
                <w:rFonts w:ascii="Calibri" w:hAnsi="Calibri"/>
                <w:color w:val="000000"/>
                <w:sz w:val="20"/>
                <w:szCs w:val="20"/>
              </w:rPr>
              <w:t>11.1</w:t>
            </w:r>
          </w:p>
        </w:tc>
      </w:tr>
      <w:tr w:rsidR="004D3B08" w:rsidRPr="00E9234B" w:rsidTr="00CC2321">
        <w:trPr>
          <w:jc w:val="center"/>
        </w:trPr>
        <w:tc>
          <w:tcPr>
            <w:tcW w:w="0" w:type="auto"/>
            <w:tcBorders>
              <w:top w:val="single" w:sz="4" w:space="0" w:color="auto"/>
              <w:bottom w:val="single" w:sz="4" w:space="0" w:color="auto"/>
              <w:right w:val="nil"/>
            </w:tcBorders>
            <w:shd w:val="clear" w:color="auto" w:fill="auto"/>
            <w:vAlign w:val="center"/>
          </w:tcPr>
          <w:p w:rsidR="004D3B08" w:rsidRPr="00E9234B" w:rsidRDefault="004D3B08" w:rsidP="00CC2321">
            <w:pPr>
              <w:spacing w:after="0" w:line="240" w:lineRule="auto"/>
              <w:rPr>
                <w:rFonts w:ascii="Calibri" w:hAnsi="Calibri"/>
                <w:color w:val="000000"/>
                <w:sz w:val="20"/>
                <w:szCs w:val="20"/>
              </w:rPr>
            </w:pPr>
            <w:r w:rsidRPr="00E9234B">
              <w:rPr>
                <w:rFonts w:ascii="Calibri" w:hAnsi="Calibri"/>
                <w:color w:val="000000"/>
                <w:sz w:val="20"/>
                <w:szCs w:val="20"/>
              </w:rPr>
              <w:t>OECD*</w:t>
            </w:r>
          </w:p>
        </w:tc>
        <w:tc>
          <w:tcPr>
            <w:tcW w:w="0" w:type="auto"/>
            <w:tcBorders>
              <w:top w:val="single" w:sz="4" w:space="0" w:color="auto"/>
              <w:left w:val="nil"/>
              <w:bottom w:val="single" w:sz="4" w:space="0" w:color="auto"/>
              <w:right w:val="nil"/>
            </w:tcBorders>
            <w:vAlign w:val="center"/>
          </w:tcPr>
          <w:p w:rsidR="004D3B08" w:rsidRPr="00E9234B" w:rsidRDefault="004D3B08" w:rsidP="00CC2321">
            <w:pPr>
              <w:spacing w:after="0" w:line="240" w:lineRule="auto"/>
              <w:jc w:val="center"/>
              <w:rPr>
                <w:rFonts w:ascii="Calibri" w:hAnsi="Calibri"/>
                <w:color w:val="000000"/>
                <w:sz w:val="20"/>
                <w:szCs w:val="20"/>
              </w:rPr>
            </w:pPr>
            <w:r w:rsidRPr="00E9234B">
              <w:rPr>
                <w:rFonts w:ascii="Calibri" w:hAnsi="Calibri"/>
                <w:color w:val="000000"/>
                <w:sz w:val="20"/>
                <w:szCs w:val="20"/>
              </w:rPr>
              <w:t>8.1</w:t>
            </w:r>
          </w:p>
        </w:tc>
        <w:tc>
          <w:tcPr>
            <w:tcW w:w="0" w:type="auto"/>
            <w:tcBorders>
              <w:top w:val="single" w:sz="4" w:space="0" w:color="auto"/>
              <w:left w:val="nil"/>
              <w:bottom w:val="single" w:sz="4" w:space="0" w:color="auto"/>
              <w:right w:val="nil"/>
            </w:tcBorders>
            <w:vAlign w:val="center"/>
          </w:tcPr>
          <w:p w:rsidR="004D3B08" w:rsidRPr="00E9234B" w:rsidRDefault="004D3B08" w:rsidP="00CC2321">
            <w:pPr>
              <w:spacing w:after="0" w:line="240" w:lineRule="auto"/>
              <w:jc w:val="center"/>
              <w:rPr>
                <w:rFonts w:ascii="Calibri" w:hAnsi="Calibri"/>
                <w:color w:val="000000"/>
                <w:sz w:val="20"/>
                <w:szCs w:val="20"/>
              </w:rPr>
            </w:pPr>
            <w:r w:rsidRPr="00E9234B">
              <w:rPr>
                <w:rFonts w:ascii="Calibri" w:hAnsi="Calibri"/>
                <w:color w:val="000000"/>
                <w:sz w:val="20"/>
                <w:szCs w:val="20"/>
              </w:rPr>
              <w:t>7.6</w:t>
            </w:r>
          </w:p>
        </w:tc>
        <w:tc>
          <w:tcPr>
            <w:tcW w:w="0" w:type="auto"/>
            <w:tcBorders>
              <w:top w:val="single" w:sz="4" w:space="0" w:color="auto"/>
              <w:left w:val="nil"/>
              <w:bottom w:val="single" w:sz="4" w:space="0" w:color="auto"/>
              <w:right w:val="nil"/>
            </w:tcBorders>
            <w:vAlign w:val="center"/>
          </w:tcPr>
          <w:p w:rsidR="004D3B08" w:rsidRPr="00E9234B" w:rsidRDefault="004D3B08" w:rsidP="00CC2321">
            <w:pPr>
              <w:spacing w:after="0" w:line="240" w:lineRule="auto"/>
              <w:jc w:val="center"/>
              <w:rPr>
                <w:rFonts w:ascii="Calibri" w:hAnsi="Calibri"/>
                <w:color w:val="000000"/>
                <w:sz w:val="20"/>
                <w:szCs w:val="20"/>
              </w:rPr>
            </w:pPr>
          </w:p>
        </w:tc>
        <w:tc>
          <w:tcPr>
            <w:tcW w:w="0" w:type="auto"/>
            <w:tcBorders>
              <w:top w:val="single" w:sz="4" w:space="0" w:color="auto"/>
              <w:left w:val="nil"/>
              <w:bottom w:val="single" w:sz="4" w:space="0" w:color="auto"/>
            </w:tcBorders>
            <w:vAlign w:val="center"/>
          </w:tcPr>
          <w:p w:rsidR="004D3B08" w:rsidRPr="00E9234B" w:rsidRDefault="004D3B08" w:rsidP="00CC2321">
            <w:pPr>
              <w:spacing w:after="0" w:line="240" w:lineRule="auto"/>
              <w:jc w:val="center"/>
              <w:rPr>
                <w:rFonts w:ascii="Calibri" w:hAnsi="Calibri"/>
                <w:color w:val="000000"/>
                <w:sz w:val="20"/>
                <w:szCs w:val="20"/>
              </w:rPr>
            </w:pPr>
          </w:p>
        </w:tc>
      </w:tr>
      <w:tr w:rsidR="004D3B08" w:rsidRPr="00E9234B" w:rsidTr="00CC2321">
        <w:trPr>
          <w:jc w:val="center"/>
        </w:trPr>
        <w:tc>
          <w:tcPr>
            <w:tcW w:w="0" w:type="auto"/>
            <w:tcBorders>
              <w:top w:val="single" w:sz="4" w:space="0" w:color="auto"/>
              <w:bottom w:val="single" w:sz="4" w:space="0" w:color="auto"/>
              <w:right w:val="nil"/>
            </w:tcBorders>
            <w:shd w:val="clear" w:color="auto" w:fill="auto"/>
            <w:vAlign w:val="center"/>
          </w:tcPr>
          <w:p w:rsidR="004D3B08" w:rsidRPr="00E9234B" w:rsidRDefault="004D3B08" w:rsidP="00CC2321">
            <w:pPr>
              <w:spacing w:after="0" w:line="240" w:lineRule="auto"/>
              <w:rPr>
                <w:rFonts w:ascii="Calibri" w:hAnsi="Calibri"/>
                <w:color w:val="000000"/>
                <w:sz w:val="20"/>
                <w:szCs w:val="20"/>
              </w:rPr>
            </w:pPr>
            <w:r w:rsidRPr="00E9234B">
              <w:rPr>
                <w:rFonts w:ascii="Calibri" w:hAnsi="Calibri"/>
                <w:color w:val="000000"/>
                <w:sz w:val="20"/>
                <w:szCs w:val="20"/>
              </w:rPr>
              <w:t>Non-OECD*</w:t>
            </w:r>
          </w:p>
        </w:tc>
        <w:tc>
          <w:tcPr>
            <w:tcW w:w="0" w:type="auto"/>
            <w:tcBorders>
              <w:top w:val="single" w:sz="4" w:space="0" w:color="auto"/>
              <w:left w:val="nil"/>
              <w:bottom w:val="single" w:sz="4" w:space="0" w:color="auto"/>
              <w:right w:val="nil"/>
            </w:tcBorders>
            <w:vAlign w:val="center"/>
          </w:tcPr>
          <w:p w:rsidR="004D3B08" w:rsidRPr="00E9234B" w:rsidRDefault="004D3B08" w:rsidP="00CC2321">
            <w:pPr>
              <w:spacing w:after="0" w:line="240" w:lineRule="auto"/>
              <w:jc w:val="center"/>
              <w:rPr>
                <w:rFonts w:ascii="Calibri" w:hAnsi="Calibri"/>
                <w:color w:val="000000"/>
                <w:sz w:val="20"/>
                <w:szCs w:val="20"/>
              </w:rPr>
            </w:pPr>
            <w:r w:rsidRPr="00E9234B">
              <w:rPr>
                <w:rFonts w:ascii="Calibri" w:hAnsi="Calibri"/>
                <w:color w:val="000000"/>
                <w:sz w:val="20"/>
                <w:szCs w:val="20"/>
              </w:rPr>
              <w:t>7.5</w:t>
            </w:r>
          </w:p>
        </w:tc>
        <w:tc>
          <w:tcPr>
            <w:tcW w:w="0" w:type="auto"/>
            <w:tcBorders>
              <w:top w:val="single" w:sz="4" w:space="0" w:color="auto"/>
              <w:left w:val="nil"/>
              <w:bottom w:val="single" w:sz="4" w:space="0" w:color="auto"/>
              <w:right w:val="nil"/>
            </w:tcBorders>
            <w:vAlign w:val="center"/>
          </w:tcPr>
          <w:p w:rsidR="004D3B08" w:rsidRPr="00E9234B" w:rsidRDefault="004D3B08" w:rsidP="00CC2321">
            <w:pPr>
              <w:spacing w:after="0" w:line="240" w:lineRule="auto"/>
              <w:jc w:val="center"/>
              <w:rPr>
                <w:rFonts w:ascii="Calibri" w:hAnsi="Calibri"/>
                <w:color w:val="000000"/>
                <w:sz w:val="20"/>
                <w:szCs w:val="20"/>
              </w:rPr>
            </w:pPr>
            <w:r w:rsidRPr="00E9234B">
              <w:rPr>
                <w:rFonts w:ascii="Calibri" w:hAnsi="Calibri"/>
                <w:color w:val="000000"/>
                <w:sz w:val="20"/>
                <w:szCs w:val="20"/>
              </w:rPr>
              <w:t>7.6</w:t>
            </w:r>
          </w:p>
        </w:tc>
        <w:tc>
          <w:tcPr>
            <w:tcW w:w="0" w:type="auto"/>
            <w:tcBorders>
              <w:top w:val="single" w:sz="4" w:space="0" w:color="auto"/>
              <w:left w:val="nil"/>
              <w:bottom w:val="single" w:sz="4" w:space="0" w:color="auto"/>
              <w:right w:val="nil"/>
            </w:tcBorders>
            <w:vAlign w:val="center"/>
          </w:tcPr>
          <w:p w:rsidR="004D3B08" w:rsidRPr="00E9234B" w:rsidRDefault="004D3B08" w:rsidP="00CC2321">
            <w:pPr>
              <w:spacing w:after="0" w:line="240" w:lineRule="auto"/>
              <w:jc w:val="center"/>
              <w:rPr>
                <w:rFonts w:ascii="Calibri" w:hAnsi="Calibri"/>
                <w:color w:val="000000"/>
                <w:sz w:val="20"/>
                <w:szCs w:val="20"/>
              </w:rPr>
            </w:pPr>
          </w:p>
        </w:tc>
        <w:tc>
          <w:tcPr>
            <w:tcW w:w="0" w:type="auto"/>
            <w:tcBorders>
              <w:top w:val="single" w:sz="4" w:space="0" w:color="auto"/>
              <w:left w:val="nil"/>
              <w:bottom w:val="single" w:sz="4" w:space="0" w:color="auto"/>
            </w:tcBorders>
            <w:vAlign w:val="center"/>
          </w:tcPr>
          <w:p w:rsidR="004D3B08" w:rsidRPr="00E9234B" w:rsidRDefault="004D3B08" w:rsidP="00CC2321">
            <w:pPr>
              <w:spacing w:after="0" w:line="240" w:lineRule="auto"/>
              <w:jc w:val="center"/>
              <w:rPr>
                <w:rFonts w:ascii="Calibri" w:hAnsi="Calibri"/>
                <w:color w:val="000000"/>
                <w:sz w:val="20"/>
                <w:szCs w:val="20"/>
              </w:rPr>
            </w:pPr>
          </w:p>
        </w:tc>
      </w:tr>
    </w:tbl>
    <w:p w:rsidR="004D3B08" w:rsidRPr="00E9234B" w:rsidRDefault="004D3B08" w:rsidP="004D3B08">
      <w:pPr>
        <w:spacing w:after="0" w:line="240" w:lineRule="auto"/>
        <w:jc w:val="center"/>
        <w:rPr>
          <w:sz w:val="20"/>
          <w:szCs w:val="20"/>
        </w:rPr>
      </w:pPr>
      <w:r w:rsidRPr="00E9234B">
        <w:rPr>
          <w:sz w:val="20"/>
          <w:szCs w:val="20"/>
        </w:rPr>
        <w:lastRenderedPageBreak/>
        <w:t>Source: *</w:t>
      </w:r>
      <w:r w:rsidRPr="00E9234B">
        <w:rPr>
          <w:rFonts w:cs="Times New Roman"/>
          <w:sz w:val="20"/>
          <w:szCs w:val="20"/>
        </w:rPr>
        <w:t>GFEI, 2013b</w:t>
      </w:r>
    </w:p>
    <w:p w:rsidR="004D3B08" w:rsidRDefault="004D3B08" w:rsidP="004D3B08">
      <w:pPr>
        <w:spacing w:after="0" w:line="240" w:lineRule="auto"/>
        <w:jc w:val="center"/>
        <w:rPr>
          <w:sz w:val="24"/>
          <w:szCs w:val="24"/>
        </w:rPr>
      </w:pPr>
    </w:p>
    <w:p w:rsidR="002F4AEB" w:rsidRPr="00F46EEF" w:rsidRDefault="002F4AEB" w:rsidP="002F4AEB">
      <w:pPr>
        <w:pStyle w:val="Caption"/>
        <w:keepNext/>
        <w:spacing w:after="0"/>
        <w:jc w:val="center"/>
        <w:rPr>
          <w:color w:val="auto"/>
          <w:sz w:val="20"/>
          <w:szCs w:val="20"/>
        </w:rPr>
      </w:pPr>
      <w:bookmarkStart w:id="49" w:name="_Toc377544436"/>
      <w:r w:rsidRPr="00F46EEF">
        <w:rPr>
          <w:color w:val="auto"/>
          <w:sz w:val="20"/>
          <w:szCs w:val="20"/>
        </w:rPr>
        <w:t xml:space="preserve">Table </w:t>
      </w:r>
      <w:r w:rsidR="00EF653E" w:rsidRPr="00F46EEF">
        <w:rPr>
          <w:color w:val="auto"/>
          <w:sz w:val="20"/>
          <w:szCs w:val="20"/>
        </w:rPr>
        <w:fldChar w:fldCharType="begin"/>
      </w:r>
      <w:r w:rsidRPr="00F46EEF">
        <w:rPr>
          <w:color w:val="auto"/>
          <w:sz w:val="20"/>
          <w:szCs w:val="20"/>
        </w:rPr>
        <w:instrText xml:space="preserve"> SEQ Table \* ARABIC </w:instrText>
      </w:r>
      <w:r w:rsidR="00EF653E" w:rsidRPr="00F46EEF">
        <w:rPr>
          <w:color w:val="auto"/>
          <w:sz w:val="20"/>
          <w:szCs w:val="20"/>
        </w:rPr>
        <w:fldChar w:fldCharType="separate"/>
      </w:r>
      <w:r w:rsidR="003401C7">
        <w:rPr>
          <w:noProof/>
          <w:color w:val="auto"/>
          <w:sz w:val="20"/>
          <w:szCs w:val="20"/>
        </w:rPr>
        <w:t>11</w:t>
      </w:r>
      <w:r w:rsidR="00EF653E" w:rsidRPr="00F46EEF">
        <w:rPr>
          <w:color w:val="auto"/>
          <w:sz w:val="20"/>
          <w:szCs w:val="20"/>
        </w:rPr>
        <w:fldChar w:fldCharType="end"/>
      </w:r>
      <w:r w:rsidRPr="00F46EEF">
        <w:rPr>
          <w:color w:val="auto"/>
          <w:sz w:val="20"/>
          <w:szCs w:val="20"/>
          <w:lang w:val="en-GB"/>
        </w:rPr>
        <w:t xml:space="preserve">: A comparison between the average CO2 emissions from new models of passenger vehicles in the EU and Bahrain </w:t>
      </w:r>
      <w:r>
        <w:rPr>
          <w:color w:val="auto"/>
          <w:sz w:val="20"/>
          <w:szCs w:val="20"/>
          <w:lang w:val="en-GB"/>
        </w:rPr>
        <w:t>in 2005, 2008, 2010 and 2012 (</w:t>
      </w:r>
      <w:r w:rsidRPr="00F46EEF">
        <w:rPr>
          <w:color w:val="auto"/>
          <w:sz w:val="20"/>
          <w:szCs w:val="20"/>
          <w:lang w:val="en-GB"/>
        </w:rPr>
        <w:t>g CO2/km)</w:t>
      </w:r>
      <w:bookmarkEnd w:id="49"/>
    </w:p>
    <w:tbl>
      <w:tblPr>
        <w:tblW w:w="2038" w:type="pct"/>
        <w:jc w:val="center"/>
        <w:tblInd w:w="304" w:type="dxa"/>
        <w:tblBorders>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51"/>
        <w:gridCol w:w="761"/>
        <w:gridCol w:w="764"/>
        <w:gridCol w:w="764"/>
        <w:gridCol w:w="763"/>
      </w:tblGrid>
      <w:tr w:rsidR="002F4AEB" w:rsidRPr="00505370" w:rsidTr="00CC2321">
        <w:trPr>
          <w:jc w:val="center"/>
        </w:trPr>
        <w:tc>
          <w:tcPr>
            <w:tcW w:w="1090" w:type="pct"/>
            <w:shd w:val="clear" w:color="auto" w:fill="000000" w:themeFill="text1"/>
            <w:vAlign w:val="center"/>
          </w:tcPr>
          <w:p w:rsidR="002F4AEB" w:rsidRPr="00505370" w:rsidRDefault="002F4AEB" w:rsidP="00CC2321">
            <w:pPr>
              <w:spacing w:after="0" w:line="240" w:lineRule="auto"/>
              <w:jc w:val="center"/>
              <w:rPr>
                <w:rFonts w:cs="Times New Roman"/>
                <w:b/>
                <w:bCs/>
                <w:noProof/>
                <w:sz w:val="20"/>
                <w:szCs w:val="20"/>
              </w:rPr>
            </w:pPr>
            <w:r w:rsidRPr="00505370">
              <w:rPr>
                <w:rFonts w:cs="Times New Roman"/>
                <w:b/>
                <w:bCs/>
                <w:noProof/>
                <w:sz w:val="20"/>
                <w:szCs w:val="20"/>
              </w:rPr>
              <w:br w:type="page"/>
              <w:t>Year</w:t>
            </w:r>
          </w:p>
        </w:tc>
        <w:tc>
          <w:tcPr>
            <w:tcW w:w="975" w:type="pct"/>
            <w:shd w:val="clear" w:color="auto" w:fill="000000" w:themeFill="text1"/>
            <w:vAlign w:val="center"/>
          </w:tcPr>
          <w:p w:rsidR="002F4AEB" w:rsidRPr="00505370" w:rsidRDefault="002F4AEB" w:rsidP="00CC2321">
            <w:pPr>
              <w:spacing w:after="0" w:line="240" w:lineRule="auto"/>
              <w:jc w:val="center"/>
              <w:rPr>
                <w:rFonts w:cs="Times New Roman"/>
                <w:b/>
                <w:bCs/>
                <w:noProof/>
                <w:sz w:val="20"/>
                <w:szCs w:val="20"/>
              </w:rPr>
            </w:pPr>
            <w:r w:rsidRPr="00505370">
              <w:rPr>
                <w:rFonts w:cs="Times New Roman"/>
                <w:b/>
                <w:bCs/>
                <w:noProof/>
                <w:sz w:val="20"/>
                <w:szCs w:val="20"/>
              </w:rPr>
              <w:t>2005</w:t>
            </w:r>
          </w:p>
        </w:tc>
        <w:tc>
          <w:tcPr>
            <w:tcW w:w="979" w:type="pct"/>
            <w:shd w:val="clear" w:color="auto" w:fill="000000" w:themeFill="text1"/>
            <w:vAlign w:val="center"/>
          </w:tcPr>
          <w:p w:rsidR="002F4AEB" w:rsidRPr="00505370" w:rsidRDefault="002F4AEB" w:rsidP="00CC2321">
            <w:pPr>
              <w:spacing w:after="0" w:line="240" w:lineRule="auto"/>
              <w:jc w:val="center"/>
              <w:rPr>
                <w:rFonts w:cs="Times New Roman"/>
                <w:b/>
                <w:bCs/>
                <w:noProof/>
                <w:sz w:val="20"/>
                <w:szCs w:val="20"/>
              </w:rPr>
            </w:pPr>
            <w:r w:rsidRPr="00505370">
              <w:rPr>
                <w:rFonts w:cs="Times New Roman"/>
                <w:b/>
                <w:bCs/>
                <w:noProof/>
                <w:sz w:val="20"/>
                <w:szCs w:val="20"/>
              </w:rPr>
              <w:t>2008</w:t>
            </w:r>
          </w:p>
        </w:tc>
        <w:tc>
          <w:tcPr>
            <w:tcW w:w="979" w:type="pct"/>
            <w:shd w:val="clear" w:color="auto" w:fill="000000" w:themeFill="text1"/>
            <w:vAlign w:val="center"/>
          </w:tcPr>
          <w:p w:rsidR="002F4AEB" w:rsidRPr="00505370" w:rsidRDefault="002F4AEB" w:rsidP="00CC2321">
            <w:pPr>
              <w:spacing w:after="0" w:line="240" w:lineRule="auto"/>
              <w:jc w:val="center"/>
              <w:rPr>
                <w:rFonts w:cs="Times New Roman"/>
                <w:b/>
                <w:bCs/>
                <w:noProof/>
                <w:sz w:val="20"/>
                <w:szCs w:val="20"/>
              </w:rPr>
            </w:pPr>
            <w:r w:rsidRPr="00505370">
              <w:rPr>
                <w:rFonts w:cs="Times New Roman"/>
                <w:b/>
                <w:bCs/>
                <w:noProof/>
                <w:sz w:val="20"/>
                <w:szCs w:val="20"/>
              </w:rPr>
              <w:t>2010</w:t>
            </w:r>
          </w:p>
        </w:tc>
        <w:tc>
          <w:tcPr>
            <w:tcW w:w="977" w:type="pct"/>
            <w:shd w:val="clear" w:color="auto" w:fill="000000" w:themeFill="text1"/>
            <w:vAlign w:val="center"/>
          </w:tcPr>
          <w:p w:rsidR="002F4AEB" w:rsidRPr="00505370" w:rsidRDefault="002F4AEB" w:rsidP="00CC2321">
            <w:pPr>
              <w:spacing w:after="0" w:line="240" w:lineRule="auto"/>
              <w:jc w:val="center"/>
              <w:rPr>
                <w:rFonts w:cs="Times New Roman"/>
                <w:b/>
                <w:bCs/>
                <w:noProof/>
                <w:sz w:val="20"/>
                <w:szCs w:val="20"/>
              </w:rPr>
            </w:pPr>
            <w:r w:rsidRPr="00505370">
              <w:rPr>
                <w:rFonts w:cs="Times New Roman"/>
                <w:b/>
                <w:bCs/>
                <w:noProof/>
                <w:sz w:val="20"/>
                <w:szCs w:val="20"/>
              </w:rPr>
              <w:t>2012</w:t>
            </w:r>
          </w:p>
        </w:tc>
      </w:tr>
      <w:tr w:rsidR="002F4AEB" w:rsidRPr="006D6E88" w:rsidTr="00CC2321">
        <w:trPr>
          <w:jc w:val="center"/>
        </w:trPr>
        <w:tc>
          <w:tcPr>
            <w:tcW w:w="1090" w:type="pct"/>
            <w:shd w:val="clear" w:color="auto" w:fill="auto"/>
            <w:vAlign w:val="center"/>
          </w:tcPr>
          <w:p w:rsidR="002F4AEB" w:rsidRPr="006D6E88" w:rsidRDefault="002F4AEB" w:rsidP="00CC2321">
            <w:pPr>
              <w:spacing w:after="0" w:line="240" w:lineRule="auto"/>
              <w:jc w:val="center"/>
              <w:rPr>
                <w:rFonts w:cs="Times New Roman"/>
                <w:noProof/>
                <w:sz w:val="20"/>
                <w:szCs w:val="20"/>
              </w:rPr>
            </w:pPr>
            <w:r w:rsidRPr="006D6E88">
              <w:rPr>
                <w:rFonts w:cs="Times New Roman"/>
                <w:noProof/>
                <w:sz w:val="20"/>
                <w:szCs w:val="20"/>
              </w:rPr>
              <w:t>EU</w:t>
            </w:r>
            <w:r>
              <w:rPr>
                <w:rFonts w:cs="Times New Roman"/>
                <w:noProof/>
                <w:sz w:val="20"/>
                <w:szCs w:val="20"/>
              </w:rPr>
              <w:t>*</w:t>
            </w:r>
          </w:p>
        </w:tc>
        <w:tc>
          <w:tcPr>
            <w:tcW w:w="975" w:type="pct"/>
            <w:vAlign w:val="center"/>
          </w:tcPr>
          <w:p w:rsidR="002F4AEB" w:rsidRPr="006D6E88" w:rsidRDefault="002F4AEB" w:rsidP="00CC2321">
            <w:pPr>
              <w:spacing w:after="0" w:line="240" w:lineRule="auto"/>
              <w:jc w:val="center"/>
              <w:rPr>
                <w:rFonts w:cs="Times New Roman"/>
                <w:noProof/>
                <w:sz w:val="20"/>
                <w:szCs w:val="20"/>
              </w:rPr>
            </w:pPr>
            <w:r w:rsidRPr="006D6E88">
              <w:rPr>
                <w:rFonts w:cs="Times New Roman"/>
                <w:noProof/>
                <w:sz w:val="20"/>
                <w:szCs w:val="20"/>
              </w:rPr>
              <w:t>162.4</w:t>
            </w:r>
          </w:p>
        </w:tc>
        <w:tc>
          <w:tcPr>
            <w:tcW w:w="979" w:type="pct"/>
            <w:vAlign w:val="center"/>
          </w:tcPr>
          <w:p w:rsidR="002F4AEB" w:rsidRPr="006D6E88" w:rsidRDefault="002F4AEB" w:rsidP="00CC2321">
            <w:pPr>
              <w:spacing w:after="0" w:line="240" w:lineRule="auto"/>
              <w:jc w:val="center"/>
              <w:rPr>
                <w:rFonts w:cs="Times New Roman"/>
                <w:noProof/>
                <w:sz w:val="20"/>
                <w:szCs w:val="20"/>
              </w:rPr>
            </w:pPr>
            <w:r w:rsidRPr="006D6E88">
              <w:rPr>
                <w:rFonts w:cs="Times New Roman"/>
                <w:noProof/>
                <w:sz w:val="20"/>
                <w:szCs w:val="20"/>
              </w:rPr>
              <w:t>153.6</w:t>
            </w:r>
          </w:p>
        </w:tc>
        <w:tc>
          <w:tcPr>
            <w:tcW w:w="979" w:type="pct"/>
            <w:vAlign w:val="center"/>
          </w:tcPr>
          <w:p w:rsidR="002F4AEB" w:rsidRPr="006D6E88" w:rsidRDefault="002F4AEB" w:rsidP="00CC2321">
            <w:pPr>
              <w:spacing w:after="0" w:line="240" w:lineRule="auto"/>
              <w:jc w:val="center"/>
              <w:rPr>
                <w:rFonts w:cs="Times New Roman"/>
                <w:noProof/>
                <w:sz w:val="20"/>
                <w:szCs w:val="20"/>
              </w:rPr>
            </w:pPr>
            <w:r w:rsidRPr="006D6E88">
              <w:rPr>
                <w:rFonts w:cs="Times New Roman"/>
                <w:noProof/>
                <w:sz w:val="20"/>
                <w:szCs w:val="20"/>
              </w:rPr>
              <w:t>140.3</w:t>
            </w:r>
          </w:p>
        </w:tc>
        <w:tc>
          <w:tcPr>
            <w:tcW w:w="977" w:type="pct"/>
            <w:vAlign w:val="center"/>
          </w:tcPr>
          <w:p w:rsidR="002F4AEB" w:rsidRPr="006D6E88" w:rsidRDefault="002F4AEB" w:rsidP="00CC2321">
            <w:pPr>
              <w:spacing w:after="0" w:line="240" w:lineRule="auto"/>
              <w:jc w:val="center"/>
              <w:rPr>
                <w:rFonts w:cs="Times New Roman"/>
                <w:noProof/>
                <w:sz w:val="20"/>
                <w:szCs w:val="20"/>
              </w:rPr>
            </w:pPr>
            <w:r w:rsidRPr="006D6E88">
              <w:rPr>
                <w:rFonts w:cs="Times New Roman"/>
                <w:noProof/>
                <w:sz w:val="20"/>
                <w:szCs w:val="20"/>
              </w:rPr>
              <w:t>-</w:t>
            </w:r>
          </w:p>
        </w:tc>
      </w:tr>
      <w:tr w:rsidR="002F4AEB" w:rsidRPr="006D6E88" w:rsidTr="00CC2321">
        <w:trPr>
          <w:jc w:val="center"/>
        </w:trPr>
        <w:tc>
          <w:tcPr>
            <w:tcW w:w="1090" w:type="pct"/>
            <w:shd w:val="clear" w:color="auto" w:fill="auto"/>
            <w:vAlign w:val="center"/>
          </w:tcPr>
          <w:p w:rsidR="002F4AEB" w:rsidRPr="006D6E88" w:rsidRDefault="002F4AEB" w:rsidP="00CC2321">
            <w:pPr>
              <w:spacing w:after="0" w:line="240" w:lineRule="auto"/>
              <w:jc w:val="center"/>
              <w:rPr>
                <w:rFonts w:cs="Times New Roman"/>
                <w:noProof/>
                <w:sz w:val="20"/>
                <w:szCs w:val="20"/>
              </w:rPr>
            </w:pPr>
            <w:r w:rsidRPr="006D6E88">
              <w:rPr>
                <w:rFonts w:cs="Times New Roman"/>
                <w:noProof/>
                <w:sz w:val="20"/>
                <w:szCs w:val="20"/>
              </w:rPr>
              <w:t>Bahrain</w:t>
            </w:r>
          </w:p>
        </w:tc>
        <w:tc>
          <w:tcPr>
            <w:tcW w:w="975" w:type="pct"/>
            <w:vAlign w:val="center"/>
          </w:tcPr>
          <w:p w:rsidR="002F4AEB" w:rsidRPr="006D6E88" w:rsidRDefault="002F4AEB" w:rsidP="00CC2321">
            <w:pPr>
              <w:spacing w:after="0" w:line="240" w:lineRule="auto"/>
              <w:jc w:val="center"/>
              <w:rPr>
                <w:rFonts w:cs="Times New Roman"/>
                <w:color w:val="000000"/>
                <w:sz w:val="20"/>
                <w:szCs w:val="20"/>
              </w:rPr>
            </w:pPr>
            <w:r>
              <w:rPr>
                <w:rFonts w:cs="Times New Roman"/>
                <w:color w:val="000000"/>
                <w:sz w:val="20"/>
                <w:szCs w:val="20"/>
              </w:rPr>
              <w:t>248.5</w:t>
            </w:r>
          </w:p>
        </w:tc>
        <w:tc>
          <w:tcPr>
            <w:tcW w:w="979" w:type="pct"/>
            <w:vAlign w:val="center"/>
          </w:tcPr>
          <w:p w:rsidR="002F4AEB" w:rsidRPr="006D6E88" w:rsidRDefault="002F4AEB" w:rsidP="00CC2321">
            <w:pPr>
              <w:spacing w:after="0" w:line="240" w:lineRule="auto"/>
              <w:jc w:val="center"/>
              <w:rPr>
                <w:rFonts w:cs="Times New Roman"/>
                <w:color w:val="000000"/>
                <w:sz w:val="20"/>
                <w:szCs w:val="20"/>
              </w:rPr>
            </w:pPr>
            <w:r>
              <w:rPr>
                <w:rFonts w:cs="Times New Roman"/>
                <w:color w:val="000000"/>
                <w:sz w:val="20"/>
                <w:szCs w:val="20"/>
              </w:rPr>
              <w:t>250.4</w:t>
            </w:r>
          </w:p>
        </w:tc>
        <w:tc>
          <w:tcPr>
            <w:tcW w:w="979" w:type="pct"/>
            <w:vAlign w:val="center"/>
          </w:tcPr>
          <w:p w:rsidR="002F4AEB" w:rsidRPr="006D6E88" w:rsidRDefault="002F4AEB" w:rsidP="00CC2321">
            <w:pPr>
              <w:spacing w:after="0" w:line="240" w:lineRule="auto"/>
              <w:jc w:val="center"/>
              <w:rPr>
                <w:rFonts w:cs="Times New Roman"/>
                <w:color w:val="000000"/>
                <w:sz w:val="20"/>
                <w:szCs w:val="20"/>
              </w:rPr>
            </w:pPr>
            <w:r w:rsidRPr="006D6E88">
              <w:rPr>
                <w:rFonts w:cs="Times New Roman"/>
                <w:color w:val="000000"/>
                <w:sz w:val="20"/>
                <w:szCs w:val="20"/>
              </w:rPr>
              <w:t>2</w:t>
            </w:r>
            <w:r>
              <w:rPr>
                <w:rFonts w:cs="Times New Roman"/>
                <w:color w:val="000000"/>
                <w:sz w:val="20"/>
                <w:szCs w:val="20"/>
              </w:rPr>
              <w:t>52</w:t>
            </w:r>
            <w:r w:rsidRPr="006D6E88">
              <w:rPr>
                <w:rFonts w:cs="Times New Roman"/>
                <w:color w:val="000000"/>
                <w:sz w:val="20"/>
                <w:szCs w:val="20"/>
              </w:rPr>
              <w:t>.</w:t>
            </w:r>
            <w:r>
              <w:rPr>
                <w:rFonts w:cs="Times New Roman"/>
                <w:color w:val="000000"/>
                <w:sz w:val="20"/>
                <w:szCs w:val="20"/>
              </w:rPr>
              <w:t>4</w:t>
            </w:r>
          </w:p>
        </w:tc>
        <w:tc>
          <w:tcPr>
            <w:tcW w:w="977" w:type="pct"/>
            <w:vAlign w:val="center"/>
          </w:tcPr>
          <w:p w:rsidR="002F4AEB" w:rsidRPr="006D6E88" w:rsidRDefault="002F4AEB" w:rsidP="00CC2321">
            <w:pPr>
              <w:spacing w:after="0" w:line="240" w:lineRule="auto"/>
              <w:jc w:val="center"/>
              <w:rPr>
                <w:rFonts w:cs="Times New Roman"/>
                <w:color w:val="000000"/>
                <w:sz w:val="20"/>
                <w:szCs w:val="20"/>
              </w:rPr>
            </w:pPr>
            <w:r w:rsidRPr="006D6E88">
              <w:rPr>
                <w:rFonts w:cs="Times New Roman"/>
                <w:color w:val="000000"/>
                <w:sz w:val="20"/>
                <w:szCs w:val="20"/>
              </w:rPr>
              <w:t>2</w:t>
            </w:r>
            <w:r>
              <w:rPr>
                <w:rFonts w:cs="Times New Roman"/>
                <w:color w:val="000000"/>
                <w:sz w:val="20"/>
                <w:szCs w:val="20"/>
              </w:rPr>
              <w:t>3</w:t>
            </w:r>
            <w:r w:rsidRPr="006D6E88">
              <w:rPr>
                <w:rFonts w:cs="Times New Roman"/>
                <w:color w:val="000000"/>
                <w:sz w:val="20"/>
                <w:szCs w:val="20"/>
              </w:rPr>
              <w:t>0.</w:t>
            </w:r>
            <w:r>
              <w:rPr>
                <w:rFonts w:cs="Times New Roman"/>
                <w:color w:val="000000"/>
                <w:sz w:val="20"/>
                <w:szCs w:val="20"/>
              </w:rPr>
              <w:t>9</w:t>
            </w:r>
          </w:p>
        </w:tc>
      </w:tr>
    </w:tbl>
    <w:p w:rsidR="002F4AEB" w:rsidRPr="00E00B8F" w:rsidRDefault="002F4AEB" w:rsidP="002F4AEB">
      <w:pPr>
        <w:spacing w:after="0" w:line="240" w:lineRule="auto"/>
        <w:jc w:val="center"/>
        <w:rPr>
          <w:sz w:val="20"/>
          <w:szCs w:val="20"/>
        </w:rPr>
      </w:pPr>
      <w:r w:rsidRPr="00E00B8F">
        <w:rPr>
          <w:sz w:val="20"/>
          <w:szCs w:val="20"/>
        </w:rPr>
        <w:t xml:space="preserve">Source: </w:t>
      </w:r>
      <w:r>
        <w:rPr>
          <w:sz w:val="20"/>
          <w:szCs w:val="20"/>
        </w:rPr>
        <w:t>*</w:t>
      </w:r>
      <w:r w:rsidRPr="00E00B8F">
        <w:rPr>
          <w:rFonts w:cs="Times New Roman"/>
          <w:sz w:val="20"/>
          <w:szCs w:val="20"/>
        </w:rPr>
        <w:t>EEA, 2013</w:t>
      </w:r>
    </w:p>
    <w:p w:rsidR="002F4AEB" w:rsidRDefault="002F4AEB" w:rsidP="002F4AEB">
      <w:pPr>
        <w:spacing w:after="0" w:line="240" w:lineRule="auto"/>
        <w:jc w:val="both"/>
        <w:rPr>
          <w:sz w:val="24"/>
          <w:szCs w:val="24"/>
        </w:rPr>
      </w:pPr>
    </w:p>
    <w:p w:rsidR="0069565D" w:rsidRPr="00EC3386" w:rsidRDefault="0069565D" w:rsidP="0069565D">
      <w:pPr>
        <w:pStyle w:val="Caption"/>
        <w:keepNext/>
        <w:spacing w:after="0"/>
        <w:jc w:val="center"/>
        <w:rPr>
          <w:color w:val="auto"/>
          <w:sz w:val="20"/>
          <w:szCs w:val="20"/>
        </w:rPr>
      </w:pPr>
      <w:bookmarkStart w:id="50" w:name="_Ref376170277"/>
      <w:bookmarkStart w:id="51" w:name="_Toc377544437"/>
      <w:r w:rsidRPr="00EC3386">
        <w:rPr>
          <w:color w:val="auto"/>
          <w:sz w:val="20"/>
          <w:szCs w:val="20"/>
        </w:rPr>
        <w:t xml:space="preserve">Table </w:t>
      </w:r>
      <w:r w:rsidR="00EF653E" w:rsidRPr="00EC3386">
        <w:rPr>
          <w:color w:val="auto"/>
          <w:sz w:val="20"/>
          <w:szCs w:val="20"/>
        </w:rPr>
        <w:fldChar w:fldCharType="begin"/>
      </w:r>
      <w:r w:rsidRPr="00EC3386">
        <w:rPr>
          <w:color w:val="auto"/>
          <w:sz w:val="20"/>
          <w:szCs w:val="20"/>
        </w:rPr>
        <w:instrText xml:space="preserve"> SEQ Table \* ARABIC </w:instrText>
      </w:r>
      <w:r w:rsidR="00EF653E" w:rsidRPr="00EC3386">
        <w:rPr>
          <w:color w:val="auto"/>
          <w:sz w:val="20"/>
          <w:szCs w:val="20"/>
        </w:rPr>
        <w:fldChar w:fldCharType="separate"/>
      </w:r>
      <w:r w:rsidR="003401C7">
        <w:rPr>
          <w:noProof/>
          <w:color w:val="auto"/>
          <w:sz w:val="20"/>
          <w:szCs w:val="20"/>
        </w:rPr>
        <w:t>12</w:t>
      </w:r>
      <w:r w:rsidR="00EF653E" w:rsidRPr="00EC3386">
        <w:rPr>
          <w:color w:val="auto"/>
          <w:sz w:val="20"/>
          <w:szCs w:val="20"/>
        </w:rPr>
        <w:fldChar w:fldCharType="end"/>
      </w:r>
      <w:bookmarkEnd w:id="50"/>
      <w:r w:rsidRPr="00EC3386">
        <w:rPr>
          <w:color w:val="auto"/>
          <w:sz w:val="20"/>
          <w:szCs w:val="20"/>
          <w:lang w:val="en-GB"/>
        </w:rPr>
        <w:t>: Total new vehicles, new LDVs and gasoline LDVs in Bahrain in 2005, 2008, 2010 and 2012</w:t>
      </w:r>
      <w:bookmarkEnd w:id="51"/>
    </w:p>
    <w:tbl>
      <w:tblPr>
        <w:tblStyle w:val="LightList1"/>
        <w:tblW w:w="0" w:type="auto"/>
        <w:jc w:val="center"/>
        <w:tblLook w:val="04A0" w:firstRow="1" w:lastRow="0" w:firstColumn="1" w:lastColumn="0" w:noHBand="0" w:noVBand="1"/>
      </w:tblPr>
      <w:tblGrid>
        <w:gridCol w:w="622"/>
        <w:gridCol w:w="1753"/>
        <w:gridCol w:w="1052"/>
        <w:gridCol w:w="571"/>
        <w:gridCol w:w="1390"/>
        <w:gridCol w:w="1032"/>
      </w:tblGrid>
      <w:tr w:rsidR="0069565D" w:rsidRPr="00EC3386" w:rsidTr="00CC232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9565D" w:rsidRPr="0003051E" w:rsidRDefault="0069565D" w:rsidP="00CC2321">
            <w:pPr>
              <w:jc w:val="center"/>
              <w:rPr>
                <w:rFonts w:ascii="Calibri" w:eastAsia="Times New Roman" w:hAnsi="Calibri" w:cs="Times New Roman"/>
                <w:sz w:val="20"/>
                <w:szCs w:val="20"/>
              </w:rPr>
            </w:pPr>
            <w:r>
              <w:rPr>
                <w:rFonts w:ascii="Calibri" w:eastAsia="Times New Roman" w:hAnsi="Calibri" w:cs="Times New Roman"/>
                <w:sz w:val="20"/>
                <w:szCs w:val="20"/>
              </w:rPr>
              <w:t>Year</w:t>
            </w:r>
          </w:p>
        </w:tc>
        <w:tc>
          <w:tcPr>
            <w:tcW w:w="0" w:type="auto"/>
            <w:noWrap/>
            <w:vAlign w:val="center"/>
            <w:hideMark/>
          </w:tcPr>
          <w:p w:rsidR="0069565D" w:rsidRPr="0003051E" w:rsidRDefault="0069565D" w:rsidP="00CC232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3051E">
              <w:rPr>
                <w:rFonts w:ascii="Calibri" w:eastAsia="Times New Roman" w:hAnsi="Calibri" w:cs="Times New Roman"/>
                <w:sz w:val="20"/>
                <w:szCs w:val="20"/>
              </w:rPr>
              <w:t xml:space="preserve">Total </w:t>
            </w:r>
            <w:r w:rsidRPr="00EC3386">
              <w:rPr>
                <w:rFonts w:ascii="Calibri" w:eastAsia="Times New Roman" w:hAnsi="Calibri" w:cs="Times New Roman"/>
                <w:sz w:val="20"/>
                <w:szCs w:val="20"/>
              </w:rPr>
              <w:t xml:space="preserve">new </w:t>
            </w:r>
            <w:r w:rsidRPr="0003051E">
              <w:rPr>
                <w:rFonts w:ascii="Calibri" w:eastAsia="Times New Roman" w:hAnsi="Calibri" w:cs="Times New Roman"/>
                <w:sz w:val="20"/>
                <w:szCs w:val="20"/>
              </w:rPr>
              <w:t>vehicles</w:t>
            </w:r>
          </w:p>
        </w:tc>
        <w:tc>
          <w:tcPr>
            <w:tcW w:w="0" w:type="auto"/>
            <w:noWrap/>
            <w:vAlign w:val="center"/>
            <w:hideMark/>
          </w:tcPr>
          <w:p w:rsidR="0069565D" w:rsidRPr="0003051E" w:rsidRDefault="0069565D" w:rsidP="00CC232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EC3386">
              <w:rPr>
                <w:rFonts w:ascii="Calibri" w:eastAsia="Times New Roman" w:hAnsi="Calibri" w:cs="Times New Roman"/>
                <w:sz w:val="20"/>
                <w:szCs w:val="20"/>
              </w:rPr>
              <w:t xml:space="preserve">New </w:t>
            </w:r>
            <w:r w:rsidRPr="0003051E">
              <w:rPr>
                <w:rFonts w:ascii="Calibri" w:eastAsia="Times New Roman" w:hAnsi="Calibri" w:cs="Times New Roman"/>
                <w:sz w:val="20"/>
                <w:szCs w:val="20"/>
              </w:rPr>
              <w:t>LDVs</w:t>
            </w:r>
          </w:p>
        </w:tc>
        <w:tc>
          <w:tcPr>
            <w:tcW w:w="0" w:type="auto"/>
            <w:noWrap/>
            <w:vAlign w:val="center"/>
            <w:hideMark/>
          </w:tcPr>
          <w:p w:rsidR="0069565D" w:rsidRPr="0003051E" w:rsidRDefault="0069565D" w:rsidP="00CC232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3051E">
              <w:rPr>
                <w:rFonts w:ascii="Calibri" w:eastAsia="Times New Roman" w:hAnsi="Calibri" w:cs="Times New Roman"/>
                <w:sz w:val="20"/>
                <w:szCs w:val="20"/>
              </w:rPr>
              <w:t>%</w:t>
            </w:r>
          </w:p>
        </w:tc>
        <w:tc>
          <w:tcPr>
            <w:tcW w:w="0" w:type="auto"/>
            <w:vAlign w:val="center"/>
          </w:tcPr>
          <w:p w:rsidR="0069565D" w:rsidRPr="00EC3386" w:rsidRDefault="0069565D" w:rsidP="00CC2321">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EC3386">
              <w:rPr>
                <w:rFonts w:ascii="Calibri" w:hAnsi="Calibri"/>
                <w:sz w:val="20"/>
                <w:szCs w:val="20"/>
              </w:rPr>
              <w:t>Gasoline LDVs</w:t>
            </w:r>
          </w:p>
        </w:tc>
        <w:tc>
          <w:tcPr>
            <w:tcW w:w="0" w:type="auto"/>
            <w:vAlign w:val="center"/>
          </w:tcPr>
          <w:p w:rsidR="0069565D" w:rsidRPr="00EC3386" w:rsidRDefault="0069565D" w:rsidP="00CC2321">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EC3386">
              <w:rPr>
                <w:rFonts w:ascii="Calibri" w:hAnsi="Calibri"/>
                <w:sz w:val="20"/>
                <w:szCs w:val="20"/>
              </w:rPr>
              <w:t>% of LDVs</w:t>
            </w:r>
          </w:p>
        </w:tc>
      </w:tr>
      <w:tr w:rsidR="0069565D" w:rsidRPr="00EC3386" w:rsidTr="00CC232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9565D" w:rsidRPr="0003051E" w:rsidRDefault="0069565D" w:rsidP="00CC2321">
            <w:pPr>
              <w:jc w:val="center"/>
              <w:rPr>
                <w:rFonts w:ascii="Calibri" w:eastAsia="Times New Roman" w:hAnsi="Calibri" w:cs="Times New Roman"/>
                <w:b w:val="0"/>
                <w:bCs w:val="0"/>
                <w:color w:val="000000"/>
                <w:sz w:val="20"/>
                <w:szCs w:val="20"/>
              </w:rPr>
            </w:pPr>
            <w:r w:rsidRPr="0003051E">
              <w:rPr>
                <w:rFonts w:ascii="Calibri" w:eastAsia="Times New Roman" w:hAnsi="Calibri" w:cs="Times New Roman"/>
                <w:b w:val="0"/>
                <w:bCs w:val="0"/>
                <w:color w:val="000000"/>
                <w:sz w:val="20"/>
                <w:szCs w:val="20"/>
              </w:rPr>
              <w:t>2005</w:t>
            </w:r>
          </w:p>
        </w:tc>
        <w:tc>
          <w:tcPr>
            <w:tcW w:w="0" w:type="auto"/>
            <w:noWrap/>
            <w:vAlign w:val="center"/>
            <w:hideMark/>
          </w:tcPr>
          <w:p w:rsidR="0069565D" w:rsidRPr="0003051E" w:rsidRDefault="0069565D"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3051E">
              <w:rPr>
                <w:rFonts w:ascii="Calibri" w:eastAsia="Times New Roman" w:hAnsi="Calibri" w:cs="Times New Roman"/>
                <w:color w:val="000000"/>
                <w:sz w:val="20"/>
                <w:szCs w:val="20"/>
              </w:rPr>
              <w:t>29395</w:t>
            </w:r>
          </w:p>
        </w:tc>
        <w:tc>
          <w:tcPr>
            <w:tcW w:w="0" w:type="auto"/>
            <w:noWrap/>
            <w:vAlign w:val="center"/>
            <w:hideMark/>
          </w:tcPr>
          <w:p w:rsidR="0069565D" w:rsidRPr="0003051E" w:rsidRDefault="0069565D"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3051E">
              <w:rPr>
                <w:rFonts w:ascii="Calibri" w:eastAsia="Times New Roman" w:hAnsi="Calibri" w:cs="Times New Roman"/>
                <w:color w:val="000000"/>
                <w:sz w:val="20"/>
                <w:szCs w:val="20"/>
              </w:rPr>
              <w:t>25019</w:t>
            </w:r>
          </w:p>
        </w:tc>
        <w:tc>
          <w:tcPr>
            <w:tcW w:w="0" w:type="auto"/>
            <w:noWrap/>
            <w:vAlign w:val="center"/>
            <w:hideMark/>
          </w:tcPr>
          <w:p w:rsidR="0069565D" w:rsidRPr="0003051E" w:rsidRDefault="0069565D"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3051E">
              <w:rPr>
                <w:rFonts w:ascii="Calibri" w:eastAsia="Times New Roman" w:hAnsi="Calibri" w:cs="Times New Roman"/>
                <w:color w:val="000000"/>
                <w:sz w:val="20"/>
                <w:szCs w:val="20"/>
              </w:rPr>
              <w:t>85.1</w:t>
            </w:r>
          </w:p>
        </w:tc>
        <w:tc>
          <w:tcPr>
            <w:tcW w:w="0" w:type="auto"/>
            <w:vAlign w:val="center"/>
          </w:tcPr>
          <w:p w:rsidR="0069565D" w:rsidRPr="00EC3386" w:rsidRDefault="0069565D" w:rsidP="00CC23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EC3386">
              <w:rPr>
                <w:rFonts w:ascii="Calibri" w:hAnsi="Calibri"/>
                <w:color w:val="000000"/>
                <w:sz w:val="20"/>
                <w:szCs w:val="20"/>
              </w:rPr>
              <w:t>24946</w:t>
            </w:r>
          </w:p>
        </w:tc>
        <w:tc>
          <w:tcPr>
            <w:tcW w:w="0" w:type="auto"/>
            <w:vAlign w:val="center"/>
          </w:tcPr>
          <w:p w:rsidR="0069565D" w:rsidRPr="00EC3386" w:rsidRDefault="0069565D" w:rsidP="00CC23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EC3386">
              <w:rPr>
                <w:rFonts w:ascii="Calibri" w:hAnsi="Calibri"/>
                <w:color w:val="000000"/>
                <w:sz w:val="20"/>
                <w:szCs w:val="20"/>
              </w:rPr>
              <w:t>99.7</w:t>
            </w:r>
          </w:p>
        </w:tc>
      </w:tr>
      <w:tr w:rsidR="0069565D" w:rsidRPr="00EC3386" w:rsidTr="00CC232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9565D" w:rsidRPr="0003051E" w:rsidRDefault="0069565D" w:rsidP="00CC2321">
            <w:pPr>
              <w:jc w:val="center"/>
              <w:rPr>
                <w:rFonts w:ascii="Calibri" w:eastAsia="Times New Roman" w:hAnsi="Calibri" w:cs="Times New Roman"/>
                <w:b w:val="0"/>
                <w:bCs w:val="0"/>
                <w:color w:val="000000"/>
                <w:sz w:val="20"/>
                <w:szCs w:val="20"/>
              </w:rPr>
            </w:pPr>
            <w:r w:rsidRPr="0003051E">
              <w:rPr>
                <w:rFonts w:ascii="Calibri" w:eastAsia="Times New Roman" w:hAnsi="Calibri" w:cs="Times New Roman"/>
                <w:b w:val="0"/>
                <w:bCs w:val="0"/>
                <w:color w:val="000000"/>
                <w:sz w:val="20"/>
                <w:szCs w:val="20"/>
              </w:rPr>
              <w:t>2008</w:t>
            </w:r>
          </w:p>
        </w:tc>
        <w:tc>
          <w:tcPr>
            <w:tcW w:w="0" w:type="auto"/>
            <w:noWrap/>
            <w:vAlign w:val="center"/>
            <w:hideMark/>
          </w:tcPr>
          <w:p w:rsidR="0069565D" w:rsidRPr="0003051E" w:rsidRDefault="0069565D"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3051E">
              <w:rPr>
                <w:rFonts w:ascii="Calibri" w:eastAsia="Times New Roman" w:hAnsi="Calibri" w:cs="Times New Roman"/>
                <w:color w:val="000000"/>
                <w:sz w:val="20"/>
                <w:szCs w:val="20"/>
              </w:rPr>
              <w:t>40395</w:t>
            </w:r>
          </w:p>
        </w:tc>
        <w:tc>
          <w:tcPr>
            <w:tcW w:w="0" w:type="auto"/>
            <w:noWrap/>
            <w:vAlign w:val="center"/>
            <w:hideMark/>
          </w:tcPr>
          <w:p w:rsidR="0069565D" w:rsidRPr="0003051E" w:rsidRDefault="0069565D"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3051E">
              <w:rPr>
                <w:rFonts w:ascii="Calibri" w:eastAsia="Times New Roman" w:hAnsi="Calibri" w:cs="Times New Roman"/>
                <w:color w:val="000000"/>
                <w:sz w:val="20"/>
                <w:szCs w:val="20"/>
              </w:rPr>
              <w:t>32229</w:t>
            </w:r>
          </w:p>
        </w:tc>
        <w:tc>
          <w:tcPr>
            <w:tcW w:w="0" w:type="auto"/>
            <w:noWrap/>
            <w:vAlign w:val="center"/>
            <w:hideMark/>
          </w:tcPr>
          <w:p w:rsidR="0069565D" w:rsidRPr="0003051E" w:rsidRDefault="0069565D"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3051E">
              <w:rPr>
                <w:rFonts w:ascii="Calibri" w:eastAsia="Times New Roman" w:hAnsi="Calibri" w:cs="Times New Roman"/>
                <w:color w:val="000000"/>
                <w:sz w:val="20"/>
                <w:szCs w:val="20"/>
              </w:rPr>
              <w:t>79.8</w:t>
            </w:r>
          </w:p>
        </w:tc>
        <w:tc>
          <w:tcPr>
            <w:tcW w:w="0" w:type="auto"/>
            <w:vAlign w:val="center"/>
          </w:tcPr>
          <w:p w:rsidR="0069565D" w:rsidRPr="00EC3386" w:rsidRDefault="0069565D" w:rsidP="00CC23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EC3386">
              <w:rPr>
                <w:rFonts w:ascii="Calibri" w:hAnsi="Calibri"/>
                <w:color w:val="000000"/>
                <w:sz w:val="20"/>
                <w:szCs w:val="20"/>
              </w:rPr>
              <w:t>32161</w:t>
            </w:r>
          </w:p>
        </w:tc>
        <w:tc>
          <w:tcPr>
            <w:tcW w:w="0" w:type="auto"/>
            <w:vAlign w:val="center"/>
          </w:tcPr>
          <w:p w:rsidR="0069565D" w:rsidRPr="00EC3386" w:rsidRDefault="0069565D" w:rsidP="00CC23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EC3386">
              <w:rPr>
                <w:rFonts w:ascii="Calibri" w:hAnsi="Calibri"/>
                <w:color w:val="000000"/>
                <w:sz w:val="20"/>
                <w:szCs w:val="20"/>
              </w:rPr>
              <w:t>99.8</w:t>
            </w:r>
          </w:p>
        </w:tc>
      </w:tr>
      <w:tr w:rsidR="0069565D" w:rsidRPr="00EC3386" w:rsidTr="00CC232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9565D" w:rsidRPr="0003051E" w:rsidRDefault="0069565D" w:rsidP="00CC2321">
            <w:pPr>
              <w:jc w:val="center"/>
              <w:rPr>
                <w:rFonts w:ascii="Calibri" w:eastAsia="Times New Roman" w:hAnsi="Calibri" w:cs="Times New Roman"/>
                <w:b w:val="0"/>
                <w:bCs w:val="0"/>
                <w:color w:val="000000"/>
                <w:sz w:val="20"/>
                <w:szCs w:val="20"/>
              </w:rPr>
            </w:pPr>
            <w:r w:rsidRPr="0003051E">
              <w:rPr>
                <w:rFonts w:ascii="Calibri" w:eastAsia="Times New Roman" w:hAnsi="Calibri" w:cs="Times New Roman"/>
                <w:b w:val="0"/>
                <w:bCs w:val="0"/>
                <w:color w:val="000000"/>
                <w:sz w:val="20"/>
                <w:szCs w:val="20"/>
              </w:rPr>
              <w:t>2010</w:t>
            </w:r>
          </w:p>
        </w:tc>
        <w:tc>
          <w:tcPr>
            <w:tcW w:w="0" w:type="auto"/>
            <w:noWrap/>
            <w:vAlign w:val="center"/>
            <w:hideMark/>
          </w:tcPr>
          <w:p w:rsidR="0069565D" w:rsidRPr="0003051E" w:rsidRDefault="0069565D"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3051E">
              <w:rPr>
                <w:rFonts w:ascii="Calibri" w:eastAsia="Times New Roman" w:hAnsi="Calibri" w:cs="Times New Roman"/>
                <w:color w:val="000000"/>
                <w:sz w:val="20"/>
                <w:szCs w:val="20"/>
              </w:rPr>
              <w:t>24939</w:t>
            </w:r>
          </w:p>
        </w:tc>
        <w:tc>
          <w:tcPr>
            <w:tcW w:w="0" w:type="auto"/>
            <w:noWrap/>
            <w:vAlign w:val="center"/>
            <w:hideMark/>
          </w:tcPr>
          <w:p w:rsidR="0069565D" w:rsidRPr="0003051E" w:rsidRDefault="0069565D"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3051E">
              <w:rPr>
                <w:rFonts w:ascii="Calibri" w:eastAsia="Times New Roman" w:hAnsi="Calibri" w:cs="Times New Roman"/>
                <w:color w:val="000000"/>
                <w:sz w:val="20"/>
                <w:szCs w:val="20"/>
              </w:rPr>
              <w:t>20479</w:t>
            </w:r>
          </w:p>
        </w:tc>
        <w:tc>
          <w:tcPr>
            <w:tcW w:w="0" w:type="auto"/>
            <w:noWrap/>
            <w:vAlign w:val="center"/>
            <w:hideMark/>
          </w:tcPr>
          <w:p w:rsidR="0069565D" w:rsidRPr="0003051E" w:rsidRDefault="0069565D"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03051E">
              <w:rPr>
                <w:rFonts w:ascii="Calibri" w:eastAsia="Times New Roman" w:hAnsi="Calibri" w:cs="Times New Roman"/>
                <w:color w:val="000000"/>
                <w:sz w:val="20"/>
                <w:szCs w:val="20"/>
              </w:rPr>
              <w:t>82.1</w:t>
            </w:r>
          </w:p>
        </w:tc>
        <w:tc>
          <w:tcPr>
            <w:tcW w:w="0" w:type="auto"/>
            <w:vAlign w:val="center"/>
          </w:tcPr>
          <w:p w:rsidR="0069565D" w:rsidRPr="00EC3386" w:rsidRDefault="0069565D" w:rsidP="00CC23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EC3386">
              <w:rPr>
                <w:rFonts w:ascii="Calibri" w:hAnsi="Calibri"/>
                <w:color w:val="000000"/>
                <w:sz w:val="20"/>
                <w:szCs w:val="20"/>
              </w:rPr>
              <w:t>20439</w:t>
            </w:r>
          </w:p>
        </w:tc>
        <w:tc>
          <w:tcPr>
            <w:tcW w:w="0" w:type="auto"/>
            <w:vAlign w:val="center"/>
          </w:tcPr>
          <w:p w:rsidR="0069565D" w:rsidRPr="00EC3386" w:rsidRDefault="0069565D" w:rsidP="00CC23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EC3386">
              <w:rPr>
                <w:rFonts w:ascii="Calibri" w:hAnsi="Calibri"/>
                <w:color w:val="000000"/>
                <w:sz w:val="20"/>
                <w:szCs w:val="20"/>
              </w:rPr>
              <w:t>99.8</w:t>
            </w:r>
          </w:p>
        </w:tc>
      </w:tr>
      <w:tr w:rsidR="0069565D" w:rsidRPr="00EC3386" w:rsidTr="00CC232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9565D" w:rsidRPr="0003051E" w:rsidRDefault="0069565D" w:rsidP="00CC2321">
            <w:pPr>
              <w:jc w:val="center"/>
              <w:rPr>
                <w:rFonts w:ascii="Calibri" w:eastAsia="Times New Roman" w:hAnsi="Calibri" w:cs="Times New Roman"/>
                <w:b w:val="0"/>
                <w:bCs w:val="0"/>
                <w:color w:val="000000"/>
                <w:sz w:val="20"/>
                <w:szCs w:val="20"/>
              </w:rPr>
            </w:pPr>
            <w:r w:rsidRPr="0003051E">
              <w:rPr>
                <w:rFonts w:ascii="Calibri" w:eastAsia="Times New Roman" w:hAnsi="Calibri" w:cs="Times New Roman"/>
                <w:b w:val="0"/>
                <w:bCs w:val="0"/>
                <w:color w:val="000000"/>
                <w:sz w:val="20"/>
                <w:szCs w:val="20"/>
              </w:rPr>
              <w:t>2012</w:t>
            </w:r>
          </w:p>
        </w:tc>
        <w:tc>
          <w:tcPr>
            <w:tcW w:w="0" w:type="auto"/>
            <w:noWrap/>
            <w:vAlign w:val="center"/>
            <w:hideMark/>
          </w:tcPr>
          <w:p w:rsidR="0069565D" w:rsidRPr="0003051E" w:rsidRDefault="0069565D"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3051E">
              <w:rPr>
                <w:rFonts w:ascii="Calibri" w:eastAsia="Times New Roman" w:hAnsi="Calibri" w:cs="Times New Roman"/>
                <w:color w:val="000000"/>
                <w:sz w:val="20"/>
                <w:szCs w:val="20"/>
              </w:rPr>
              <w:t>35219</w:t>
            </w:r>
          </w:p>
        </w:tc>
        <w:tc>
          <w:tcPr>
            <w:tcW w:w="0" w:type="auto"/>
            <w:noWrap/>
            <w:vAlign w:val="center"/>
            <w:hideMark/>
          </w:tcPr>
          <w:p w:rsidR="0069565D" w:rsidRPr="0003051E" w:rsidRDefault="0069565D"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3051E">
              <w:rPr>
                <w:rFonts w:ascii="Calibri" w:eastAsia="Times New Roman" w:hAnsi="Calibri" w:cs="Times New Roman"/>
                <w:color w:val="000000"/>
                <w:sz w:val="20"/>
                <w:szCs w:val="20"/>
              </w:rPr>
              <w:t>28552</w:t>
            </w:r>
          </w:p>
        </w:tc>
        <w:tc>
          <w:tcPr>
            <w:tcW w:w="0" w:type="auto"/>
            <w:noWrap/>
            <w:vAlign w:val="center"/>
            <w:hideMark/>
          </w:tcPr>
          <w:p w:rsidR="0069565D" w:rsidRPr="0003051E" w:rsidRDefault="0069565D"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03051E">
              <w:rPr>
                <w:rFonts w:ascii="Calibri" w:eastAsia="Times New Roman" w:hAnsi="Calibri" w:cs="Times New Roman"/>
                <w:color w:val="000000"/>
                <w:sz w:val="20"/>
                <w:szCs w:val="20"/>
              </w:rPr>
              <w:t>81.1</w:t>
            </w:r>
          </w:p>
        </w:tc>
        <w:tc>
          <w:tcPr>
            <w:tcW w:w="0" w:type="auto"/>
            <w:vAlign w:val="center"/>
          </w:tcPr>
          <w:p w:rsidR="0069565D" w:rsidRPr="00EC3386" w:rsidRDefault="0069565D" w:rsidP="00CC23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EC3386">
              <w:rPr>
                <w:rFonts w:ascii="Calibri" w:hAnsi="Calibri"/>
                <w:color w:val="000000"/>
                <w:sz w:val="20"/>
                <w:szCs w:val="20"/>
              </w:rPr>
              <w:t>28439</w:t>
            </w:r>
          </w:p>
        </w:tc>
        <w:tc>
          <w:tcPr>
            <w:tcW w:w="0" w:type="auto"/>
            <w:vAlign w:val="center"/>
          </w:tcPr>
          <w:p w:rsidR="0069565D" w:rsidRPr="00EC3386" w:rsidRDefault="0069565D" w:rsidP="00CC23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EC3386">
              <w:rPr>
                <w:rFonts w:ascii="Calibri" w:hAnsi="Calibri"/>
                <w:color w:val="000000"/>
                <w:sz w:val="20"/>
                <w:szCs w:val="20"/>
              </w:rPr>
              <w:t>99.6</w:t>
            </w:r>
          </w:p>
        </w:tc>
      </w:tr>
    </w:tbl>
    <w:p w:rsidR="0069565D" w:rsidRDefault="0069565D" w:rsidP="0069565D">
      <w:pPr>
        <w:spacing w:after="0" w:line="240" w:lineRule="auto"/>
        <w:jc w:val="both"/>
        <w:rPr>
          <w:sz w:val="24"/>
          <w:szCs w:val="24"/>
        </w:rPr>
      </w:pPr>
    </w:p>
    <w:p w:rsidR="005E7729" w:rsidRPr="00851DCB" w:rsidRDefault="005E7729" w:rsidP="005E7729">
      <w:pPr>
        <w:pStyle w:val="Caption"/>
        <w:keepNext/>
        <w:spacing w:after="0"/>
        <w:jc w:val="center"/>
        <w:rPr>
          <w:color w:val="auto"/>
          <w:sz w:val="20"/>
          <w:szCs w:val="20"/>
        </w:rPr>
      </w:pPr>
      <w:bookmarkStart w:id="52" w:name="_Toc377544438"/>
      <w:r w:rsidRPr="00820B56">
        <w:rPr>
          <w:color w:val="auto"/>
          <w:sz w:val="20"/>
          <w:szCs w:val="20"/>
        </w:rPr>
        <w:t xml:space="preserve">Table </w:t>
      </w:r>
      <w:r w:rsidR="00EF653E" w:rsidRPr="00820B56">
        <w:rPr>
          <w:color w:val="auto"/>
          <w:sz w:val="20"/>
          <w:szCs w:val="20"/>
        </w:rPr>
        <w:fldChar w:fldCharType="begin"/>
      </w:r>
      <w:r w:rsidRPr="00820B56">
        <w:rPr>
          <w:color w:val="auto"/>
          <w:sz w:val="20"/>
          <w:szCs w:val="20"/>
        </w:rPr>
        <w:instrText xml:space="preserve"> SEQ Table \* ARABIC </w:instrText>
      </w:r>
      <w:r w:rsidR="00EF653E" w:rsidRPr="00820B56">
        <w:rPr>
          <w:color w:val="auto"/>
          <w:sz w:val="20"/>
          <w:szCs w:val="20"/>
        </w:rPr>
        <w:fldChar w:fldCharType="separate"/>
      </w:r>
      <w:r w:rsidR="003401C7">
        <w:rPr>
          <w:noProof/>
          <w:color w:val="auto"/>
          <w:sz w:val="20"/>
          <w:szCs w:val="20"/>
        </w:rPr>
        <w:t>13</w:t>
      </w:r>
      <w:r w:rsidR="00EF653E" w:rsidRPr="00820B56">
        <w:rPr>
          <w:color w:val="auto"/>
          <w:sz w:val="20"/>
          <w:szCs w:val="20"/>
        </w:rPr>
        <w:fldChar w:fldCharType="end"/>
      </w:r>
      <w:r w:rsidRPr="00820B56">
        <w:rPr>
          <w:color w:val="auto"/>
          <w:sz w:val="20"/>
          <w:szCs w:val="20"/>
          <w:lang w:val="en-GB"/>
        </w:rPr>
        <w:t>: Average curb weight and engine size of new LDVs in Bahrain</w:t>
      </w:r>
      <w:r>
        <w:rPr>
          <w:color w:val="auto"/>
          <w:sz w:val="20"/>
          <w:szCs w:val="20"/>
          <w:lang w:val="en-GB"/>
        </w:rPr>
        <w:t xml:space="preserve"> </w:t>
      </w:r>
      <w:r w:rsidRPr="00851DCB">
        <w:rPr>
          <w:color w:val="auto"/>
          <w:sz w:val="20"/>
          <w:szCs w:val="20"/>
          <w:lang w:val="en-GB"/>
        </w:rPr>
        <w:t>in 2005, 2008, 2010 and 2012</w:t>
      </w:r>
      <w:bookmarkEnd w:id="52"/>
    </w:p>
    <w:tbl>
      <w:tblPr>
        <w:tblStyle w:val="LightList1"/>
        <w:tblW w:w="0" w:type="auto"/>
        <w:jc w:val="center"/>
        <w:tblLook w:val="04A0" w:firstRow="1" w:lastRow="0" w:firstColumn="1" w:lastColumn="0" w:noHBand="0" w:noVBand="1"/>
      </w:tblPr>
      <w:tblGrid>
        <w:gridCol w:w="2242"/>
        <w:gridCol w:w="622"/>
        <w:gridCol w:w="622"/>
        <w:gridCol w:w="622"/>
        <w:gridCol w:w="622"/>
      </w:tblGrid>
      <w:tr w:rsidR="005E7729" w:rsidRPr="00C843F8" w:rsidTr="00CC232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5E7729" w:rsidRPr="00C843F8" w:rsidRDefault="005E7729" w:rsidP="00CC2321">
            <w:pPr>
              <w:jc w:val="center"/>
              <w:rPr>
                <w:rFonts w:ascii="Calibri" w:eastAsia="Times New Roman" w:hAnsi="Calibri" w:cs="Times New Roman"/>
                <w:sz w:val="20"/>
                <w:szCs w:val="20"/>
              </w:rPr>
            </w:pPr>
            <w:r w:rsidRPr="00851DCB">
              <w:rPr>
                <w:rFonts w:ascii="Calibri" w:eastAsia="Times New Roman" w:hAnsi="Calibri" w:cs="Times New Roman"/>
                <w:sz w:val="20"/>
                <w:szCs w:val="20"/>
              </w:rPr>
              <w:t>Item</w:t>
            </w:r>
          </w:p>
        </w:tc>
        <w:tc>
          <w:tcPr>
            <w:tcW w:w="0" w:type="auto"/>
            <w:noWrap/>
            <w:hideMark/>
          </w:tcPr>
          <w:p w:rsidR="005E7729" w:rsidRPr="00C843F8" w:rsidRDefault="005E7729" w:rsidP="00CC232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C843F8">
              <w:rPr>
                <w:rFonts w:ascii="Calibri" w:eastAsia="Times New Roman" w:hAnsi="Calibri" w:cs="Times New Roman"/>
                <w:sz w:val="20"/>
                <w:szCs w:val="20"/>
              </w:rPr>
              <w:t>2005</w:t>
            </w:r>
          </w:p>
        </w:tc>
        <w:tc>
          <w:tcPr>
            <w:tcW w:w="0" w:type="auto"/>
            <w:noWrap/>
            <w:hideMark/>
          </w:tcPr>
          <w:p w:rsidR="005E7729" w:rsidRPr="00C843F8" w:rsidRDefault="005E7729" w:rsidP="00CC232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C843F8">
              <w:rPr>
                <w:rFonts w:ascii="Calibri" w:eastAsia="Times New Roman" w:hAnsi="Calibri" w:cs="Times New Roman"/>
                <w:sz w:val="20"/>
                <w:szCs w:val="20"/>
              </w:rPr>
              <w:t>2008</w:t>
            </w:r>
          </w:p>
        </w:tc>
        <w:tc>
          <w:tcPr>
            <w:tcW w:w="0" w:type="auto"/>
            <w:noWrap/>
            <w:hideMark/>
          </w:tcPr>
          <w:p w:rsidR="005E7729" w:rsidRPr="00C843F8" w:rsidRDefault="005E7729" w:rsidP="00CC232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C843F8">
              <w:rPr>
                <w:rFonts w:ascii="Calibri" w:eastAsia="Times New Roman" w:hAnsi="Calibri" w:cs="Times New Roman"/>
                <w:sz w:val="20"/>
                <w:szCs w:val="20"/>
              </w:rPr>
              <w:t>2010</w:t>
            </w:r>
          </w:p>
        </w:tc>
        <w:tc>
          <w:tcPr>
            <w:tcW w:w="0" w:type="auto"/>
            <w:noWrap/>
            <w:hideMark/>
          </w:tcPr>
          <w:p w:rsidR="005E7729" w:rsidRPr="00C843F8" w:rsidRDefault="005E7729" w:rsidP="00CC232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C843F8">
              <w:rPr>
                <w:rFonts w:ascii="Calibri" w:eastAsia="Times New Roman" w:hAnsi="Calibri" w:cs="Times New Roman"/>
                <w:sz w:val="20"/>
                <w:szCs w:val="20"/>
              </w:rPr>
              <w:t>2012</w:t>
            </w:r>
          </w:p>
        </w:tc>
      </w:tr>
      <w:tr w:rsidR="005E7729" w:rsidRPr="00C843F8" w:rsidTr="00CC232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5E7729" w:rsidRPr="00C843F8" w:rsidRDefault="005E7729" w:rsidP="00CC2321">
            <w:pPr>
              <w:rPr>
                <w:rFonts w:ascii="Calibri" w:eastAsia="Times New Roman" w:hAnsi="Calibri" w:cs="Times New Roman"/>
                <w:b w:val="0"/>
                <w:bCs w:val="0"/>
                <w:color w:val="000000"/>
                <w:sz w:val="20"/>
                <w:szCs w:val="20"/>
              </w:rPr>
            </w:pPr>
            <w:r w:rsidRPr="00C843F8">
              <w:rPr>
                <w:rFonts w:ascii="Calibri" w:eastAsia="Times New Roman" w:hAnsi="Calibri" w:cs="Times New Roman"/>
                <w:b w:val="0"/>
                <w:bCs w:val="0"/>
                <w:color w:val="000000"/>
                <w:sz w:val="20"/>
                <w:szCs w:val="20"/>
              </w:rPr>
              <w:t>Average curb weight</w:t>
            </w:r>
            <w:r w:rsidRPr="00851DCB">
              <w:rPr>
                <w:rFonts w:ascii="Calibri" w:eastAsia="Times New Roman" w:hAnsi="Calibri" w:cs="Times New Roman"/>
                <w:b w:val="0"/>
                <w:bCs w:val="0"/>
                <w:color w:val="000000"/>
                <w:sz w:val="20"/>
                <w:szCs w:val="20"/>
              </w:rPr>
              <w:t xml:space="preserve"> (kg)</w:t>
            </w:r>
          </w:p>
        </w:tc>
        <w:tc>
          <w:tcPr>
            <w:tcW w:w="0" w:type="auto"/>
            <w:noWrap/>
            <w:hideMark/>
          </w:tcPr>
          <w:p w:rsidR="005E7729" w:rsidRPr="00C843F8" w:rsidRDefault="005E7729"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C843F8">
              <w:rPr>
                <w:rFonts w:ascii="Calibri" w:eastAsia="Times New Roman" w:hAnsi="Calibri" w:cs="Times New Roman"/>
                <w:color w:val="000000"/>
                <w:sz w:val="20"/>
                <w:szCs w:val="20"/>
              </w:rPr>
              <w:t>168</w:t>
            </w:r>
            <w:r w:rsidRPr="00851DCB">
              <w:rPr>
                <w:rFonts w:ascii="Calibri" w:eastAsia="Times New Roman" w:hAnsi="Calibri" w:cs="Times New Roman"/>
                <w:color w:val="000000"/>
                <w:sz w:val="20"/>
                <w:szCs w:val="20"/>
              </w:rPr>
              <w:t>5</w:t>
            </w:r>
          </w:p>
        </w:tc>
        <w:tc>
          <w:tcPr>
            <w:tcW w:w="0" w:type="auto"/>
            <w:noWrap/>
            <w:hideMark/>
          </w:tcPr>
          <w:p w:rsidR="005E7729" w:rsidRPr="00C843F8" w:rsidRDefault="005E7729"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C843F8">
              <w:rPr>
                <w:rFonts w:ascii="Calibri" w:eastAsia="Times New Roman" w:hAnsi="Calibri" w:cs="Times New Roman"/>
                <w:color w:val="000000"/>
                <w:sz w:val="20"/>
                <w:szCs w:val="20"/>
              </w:rPr>
              <w:t>175</w:t>
            </w:r>
            <w:r w:rsidRPr="00851DCB">
              <w:rPr>
                <w:rFonts w:ascii="Calibri" w:eastAsia="Times New Roman" w:hAnsi="Calibri" w:cs="Times New Roman"/>
                <w:color w:val="000000"/>
                <w:sz w:val="20"/>
                <w:szCs w:val="20"/>
              </w:rPr>
              <w:t>3</w:t>
            </w:r>
          </w:p>
        </w:tc>
        <w:tc>
          <w:tcPr>
            <w:tcW w:w="0" w:type="auto"/>
            <w:noWrap/>
            <w:hideMark/>
          </w:tcPr>
          <w:p w:rsidR="005E7729" w:rsidRPr="00C843F8" w:rsidRDefault="005E7729"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C843F8">
              <w:rPr>
                <w:rFonts w:ascii="Calibri" w:eastAsia="Times New Roman" w:hAnsi="Calibri" w:cs="Times New Roman"/>
                <w:color w:val="000000"/>
                <w:sz w:val="20"/>
                <w:szCs w:val="20"/>
              </w:rPr>
              <w:t>1731</w:t>
            </w:r>
          </w:p>
        </w:tc>
        <w:tc>
          <w:tcPr>
            <w:tcW w:w="0" w:type="auto"/>
            <w:noWrap/>
            <w:hideMark/>
          </w:tcPr>
          <w:p w:rsidR="005E7729" w:rsidRPr="00C843F8" w:rsidRDefault="005E7729" w:rsidP="00CC232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C843F8">
              <w:rPr>
                <w:rFonts w:ascii="Calibri" w:eastAsia="Times New Roman" w:hAnsi="Calibri" w:cs="Times New Roman"/>
                <w:color w:val="000000"/>
                <w:sz w:val="20"/>
                <w:szCs w:val="20"/>
              </w:rPr>
              <w:t>171</w:t>
            </w:r>
            <w:r w:rsidRPr="00851DCB">
              <w:rPr>
                <w:rFonts w:ascii="Calibri" w:eastAsia="Times New Roman" w:hAnsi="Calibri" w:cs="Times New Roman"/>
                <w:color w:val="000000"/>
                <w:sz w:val="20"/>
                <w:szCs w:val="20"/>
              </w:rPr>
              <w:t>8</w:t>
            </w:r>
          </w:p>
        </w:tc>
      </w:tr>
      <w:tr w:rsidR="005E7729" w:rsidRPr="00C843F8" w:rsidTr="00CC2321">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5E7729" w:rsidRPr="00C843F8" w:rsidRDefault="005E7729" w:rsidP="00CC2321">
            <w:pPr>
              <w:rPr>
                <w:rFonts w:ascii="Calibri" w:eastAsia="Times New Roman" w:hAnsi="Calibri" w:cs="Times New Roman"/>
                <w:b w:val="0"/>
                <w:bCs w:val="0"/>
                <w:color w:val="000000"/>
                <w:sz w:val="20"/>
                <w:szCs w:val="20"/>
              </w:rPr>
            </w:pPr>
            <w:r w:rsidRPr="00C843F8">
              <w:rPr>
                <w:rFonts w:ascii="Calibri" w:eastAsia="Times New Roman" w:hAnsi="Calibri" w:cs="Times New Roman"/>
                <w:b w:val="0"/>
                <w:bCs w:val="0"/>
                <w:color w:val="000000"/>
                <w:sz w:val="20"/>
                <w:szCs w:val="20"/>
              </w:rPr>
              <w:t>Average engine size</w:t>
            </w:r>
            <w:r w:rsidRPr="00851DCB">
              <w:rPr>
                <w:rFonts w:ascii="Calibri" w:eastAsia="Times New Roman" w:hAnsi="Calibri" w:cs="Times New Roman"/>
                <w:b w:val="0"/>
                <w:bCs w:val="0"/>
                <w:color w:val="000000"/>
                <w:sz w:val="20"/>
                <w:szCs w:val="20"/>
              </w:rPr>
              <w:t xml:space="preserve"> (cc)</w:t>
            </w:r>
          </w:p>
        </w:tc>
        <w:tc>
          <w:tcPr>
            <w:tcW w:w="0" w:type="auto"/>
            <w:noWrap/>
            <w:hideMark/>
          </w:tcPr>
          <w:p w:rsidR="005E7729" w:rsidRPr="00C843F8" w:rsidRDefault="005E7729"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843F8">
              <w:rPr>
                <w:rFonts w:ascii="Calibri" w:eastAsia="Times New Roman" w:hAnsi="Calibri" w:cs="Times New Roman"/>
                <w:color w:val="000000"/>
                <w:sz w:val="20"/>
                <w:szCs w:val="20"/>
              </w:rPr>
              <w:t>3191</w:t>
            </w:r>
          </w:p>
        </w:tc>
        <w:tc>
          <w:tcPr>
            <w:tcW w:w="0" w:type="auto"/>
            <w:noWrap/>
            <w:hideMark/>
          </w:tcPr>
          <w:p w:rsidR="005E7729" w:rsidRPr="00C843F8" w:rsidRDefault="005E7729"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843F8">
              <w:rPr>
                <w:rFonts w:ascii="Calibri" w:eastAsia="Times New Roman" w:hAnsi="Calibri" w:cs="Times New Roman"/>
                <w:color w:val="000000"/>
                <w:sz w:val="20"/>
                <w:szCs w:val="20"/>
              </w:rPr>
              <w:t>3417</w:t>
            </w:r>
          </w:p>
        </w:tc>
        <w:tc>
          <w:tcPr>
            <w:tcW w:w="0" w:type="auto"/>
            <w:noWrap/>
            <w:hideMark/>
          </w:tcPr>
          <w:p w:rsidR="005E7729" w:rsidRPr="00C843F8" w:rsidRDefault="005E7729"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843F8">
              <w:rPr>
                <w:rFonts w:ascii="Calibri" w:eastAsia="Times New Roman" w:hAnsi="Calibri" w:cs="Times New Roman"/>
                <w:color w:val="000000"/>
                <w:sz w:val="20"/>
                <w:szCs w:val="20"/>
              </w:rPr>
              <w:t>3061</w:t>
            </w:r>
          </w:p>
        </w:tc>
        <w:tc>
          <w:tcPr>
            <w:tcW w:w="0" w:type="auto"/>
            <w:noWrap/>
            <w:hideMark/>
          </w:tcPr>
          <w:p w:rsidR="005E7729" w:rsidRPr="00C843F8" w:rsidRDefault="005E7729" w:rsidP="00CC232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C843F8">
              <w:rPr>
                <w:rFonts w:ascii="Calibri" w:eastAsia="Times New Roman" w:hAnsi="Calibri" w:cs="Times New Roman"/>
                <w:color w:val="000000"/>
                <w:sz w:val="20"/>
                <w:szCs w:val="20"/>
              </w:rPr>
              <w:t>2955</w:t>
            </w:r>
          </w:p>
        </w:tc>
      </w:tr>
    </w:tbl>
    <w:p w:rsidR="005E7729" w:rsidRPr="006D6E88" w:rsidRDefault="005E7729" w:rsidP="005E7729">
      <w:pPr>
        <w:spacing w:after="0" w:line="240" w:lineRule="auto"/>
        <w:jc w:val="both"/>
        <w:rPr>
          <w:sz w:val="24"/>
          <w:szCs w:val="24"/>
        </w:rPr>
      </w:pPr>
    </w:p>
    <w:p w:rsidR="00727C78" w:rsidRPr="00304CC8" w:rsidRDefault="00727C78" w:rsidP="00727C78">
      <w:pPr>
        <w:pStyle w:val="Caption"/>
        <w:keepNext/>
        <w:spacing w:after="0"/>
        <w:jc w:val="center"/>
        <w:rPr>
          <w:color w:val="auto"/>
          <w:sz w:val="20"/>
          <w:szCs w:val="20"/>
        </w:rPr>
      </w:pPr>
      <w:bookmarkStart w:id="53" w:name="_Ref376260676"/>
      <w:bookmarkStart w:id="54" w:name="_Toc377544439"/>
      <w:r w:rsidRPr="00304CC8">
        <w:rPr>
          <w:color w:val="auto"/>
          <w:sz w:val="20"/>
          <w:szCs w:val="20"/>
        </w:rPr>
        <w:t xml:space="preserve">Table </w:t>
      </w:r>
      <w:r w:rsidR="00EF653E" w:rsidRPr="00304CC8">
        <w:rPr>
          <w:color w:val="auto"/>
          <w:sz w:val="20"/>
          <w:szCs w:val="20"/>
        </w:rPr>
        <w:fldChar w:fldCharType="begin"/>
      </w:r>
      <w:r w:rsidRPr="00304CC8">
        <w:rPr>
          <w:color w:val="auto"/>
          <w:sz w:val="20"/>
          <w:szCs w:val="20"/>
        </w:rPr>
        <w:instrText xml:space="preserve"> SEQ Table \* ARABIC </w:instrText>
      </w:r>
      <w:r w:rsidR="00EF653E" w:rsidRPr="00304CC8">
        <w:rPr>
          <w:color w:val="auto"/>
          <w:sz w:val="20"/>
          <w:szCs w:val="20"/>
        </w:rPr>
        <w:fldChar w:fldCharType="separate"/>
      </w:r>
      <w:r w:rsidR="003401C7">
        <w:rPr>
          <w:noProof/>
          <w:color w:val="auto"/>
          <w:sz w:val="20"/>
          <w:szCs w:val="20"/>
        </w:rPr>
        <w:t>14</w:t>
      </w:r>
      <w:r w:rsidR="00EF653E" w:rsidRPr="00304CC8">
        <w:rPr>
          <w:color w:val="auto"/>
          <w:sz w:val="20"/>
          <w:szCs w:val="20"/>
        </w:rPr>
        <w:fldChar w:fldCharType="end"/>
      </w:r>
      <w:bookmarkEnd w:id="53"/>
      <w:r w:rsidRPr="00304CC8">
        <w:rPr>
          <w:color w:val="auto"/>
          <w:sz w:val="20"/>
          <w:szCs w:val="20"/>
          <w:lang w:val="en-GB"/>
        </w:rPr>
        <w:t>: Number of new LDVs per year of first registration</w:t>
      </w:r>
      <w:bookmarkEnd w:id="54"/>
    </w:p>
    <w:tbl>
      <w:tblPr>
        <w:tblStyle w:val="LightList1"/>
        <w:tblW w:w="0" w:type="auto"/>
        <w:tblLook w:val="04A0" w:firstRow="1" w:lastRow="0" w:firstColumn="1" w:lastColumn="0" w:noHBand="0" w:noVBand="1"/>
      </w:tblPr>
      <w:tblGrid>
        <w:gridCol w:w="6297"/>
        <w:gridCol w:w="723"/>
        <w:gridCol w:w="723"/>
        <w:gridCol w:w="723"/>
        <w:gridCol w:w="723"/>
      </w:tblGrid>
      <w:tr w:rsidR="00727C78" w:rsidRPr="001666F8" w:rsidTr="00CC23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27C78" w:rsidRPr="001666F8" w:rsidRDefault="00727C78" w:rsidP="00CC2321">
            <w:pPr>
              <w:jc w:val="center"/>
              <w:rPr>
                <w:rFonts w:eastAsia="Times New Roman" w:cs="Times New Roman"/>
                <w:sz w:val="20"/>
                <w:szCs w:val="20"/>
              </w:rPr>
            </w:pPr>
            <w:r w:rsidRPr="001666F8">
              <w:rPr>
                <w:rFonts w:eastAsia="Times New Roman" w:cs="Times New Roman"/>
                <w:sz w:val="20"/>
                <w:szCs w:val="20"/>
              </w:rPr>
              <w:t>Item</w:t>
            </w:r>
          </w:p>
        </w:tc>
        <w:tc>
          <w:tcPr>
            <w:tcW w:w="0" w:type="auto"/>
            <w:noWrap/>
            <w:vAlign w:val="center"/>
            <w:hideMark/>
          </w:tcPr>
          <w:p w:rsidR="00727C78" w:rsidRPr="001666F8" w:rsidRDefault="00727C78" w:rsidP="00CC232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1666F8">
              <w:rPr>
                <w:rFonts w:eastAsia="Times New Roman" w:cs="Times New Roman"/>
                <w:sz w:val="20"/>
                <w:szCs w:val="20"/>
              </w:rPr>
              <w:t>2005</w:t>
            </w:r>
          </w:p>
        </w:tc>
        <w:tc>
          <w:tcPr>
            <w:tcW w:w="0" w:type="auto"/>
            <w:noWrap/>
            <w:vAlign w:val="center"/>
            <w:hideMark/>
          </w:tcPr>
          <w:p w:rsidR="00727C78" w:rsidRPr="001666F8" w:rsidRDefault="00727C78" w:rsidP="00CC232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1666F8">
              <w:rPr>
                <w:rFonts w:eastAsia="Times New Roman" w:cs="Times New Roman"/>
                <w:sz w:val="20"/>
                <w:szCs w:val="20"/>
              </w:rPr>
              <w:t>2008</w:t>
            </w:r>
          </w:p>
        </w:tc>
        <w:tc>
          <w:tcPr>
            <w:tcW w:w="0" w:type="auto"/>
            <w:noWrap/>
            <w:vAlign w:val="center"/>
            <w:hideMark/>
          </w:tcPr>
          <w:p w:rsidR="00727C78" w:rsidRPr="001666F8" w:rsidRDefault="00727C78" w:rsidP="00CC232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1666F8">
              <w:rPr>
                <w:rFonts w:eastAsia="Times New Roman" w:cs="Times New Roman"/>
                <w:sz w:val="20"/>
                <w:szCs w:val="20"/>
              </w:rPr>
              <w:t>2010</w:t>
            </w:r>
          </w:p>
        </w:tc>
        <w:tc>
          <w:tcPr>
            <w:tcW w:w="0" w:type="auto"/>
            <w:noWrap/>
            <w:vAlign w:val="center"/>
            <w:hideMark/>
          </w:tcPr>
          <w:p w:rsidR="00727C78" w:rsidRPr="001666F8" w:rsidRDefault="00727C78" w:rsidP="00CC232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1666F8">
              <w:rPr>
                <w:rFonts w:eastAsia="Times New Roman" w:cs="Times New Roman"/>
                <w:sz w:val="20"/>
                <w:szCs w:val="20"/>
              </w:rPr>
              <w:t>2012</w:t>
            </w:r>
          </w:p>
        </w:tc>
      </w:tr>
      <w:tr w:rsidR="00727C78" w:rsidRPr="001666F8" w:rsidTr="00CC2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727C78" w:rsidRPr="00315800" w:rsidRDefault="00727C78" w:rsidP="00CC2321">
            <w:pPr>
              <w:rPr>
                <w:rFonts w:ascii="Calibri" w:hAnsi="Calibri"/>
                <w:b w:val="0"/>
                <w:bCs w:val="0"/>
                <w:color w:val="000000"/>
                <w:sz w:val="20"/>
                <w:szCs w:val="20"/>
              </w:rPr>
            </w:pPr>
            <w:r w:rsidRPr="00315800">
              <w:rPr>
                <w:rFonts w:ascii="Calibri" w:hAnsi="Calibri"/>
                <w:b w:val="0"/>
                <w:bCs w:val="0"/>
                <w:color w:val="000000"/>
                <w:sz w:val="20"/>
                <w:szCs w:val="20"/>
              </w:rPr>
              <w:t>Registered a year before the year of manufacture</w:t>
            </w:r>
          </w:p>
        </w:tc>
        <w:tc>
          <w:tcPr>
            <w:tcW w:w="0" w:type="auto"/>
            <w:noWrap/>
            <w:vAlign w:val="bottom"/>
            <w:hideMark/>
          </w:tcPr>
          <w:p w:rsidR="00727C78" w:rsidRPr="00315800" w:rsidRDefault="00727C78" w:rsidP="00CC23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5444</w:t>
            </w:r>
          </w:p>
        </w:tc>
        <w:tc>
          <w:tcPr>
            <w:tcW w:w="0" w:type="auto"/>
            <w:noWrap/>
            <w:vAlign w:val="bottom"/>
            <w:hideMark/>
          </w:tcPr>
          <w:p w:rsidR="00727C78" w:rsidRPr="00315800" w:rsidRDefault="00727C78" w:rsidP="00CC23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5669</w:t>
            </w:r>
          </w:p>
        </w:tc>
        <w:tc>
          <w:tcPr>
            <w:tcW w:w="0" w:type="auto"/>
            <w:noWrap/>
            <w:vAlign w:val="bottom"/>
            <w:hideMark/>
          </w:tcPr>
          <w:p w:rsidR="00727C78" w:rsidRPr="00315800" w:rsidRDefault="00727C78" w:rsidP="00CC23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3390</w:t>
            </w:r>
          </w:p>
        </w:tc>
        <w:tc>
          <w:tcPr>
            <w:tcW w:w="0" w:type="auto"/>
            <w:noWrap/>
            <w:vAlign w:val="bottom"/>
            <w:hideMark/>
          </w:tcPr>
          <w:p w:rsidR="00727C78" w:rsidRPr="00315800" w:rsidRDefault="00727C78" w:rsidP="00CC23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5216</w:t>
            </w:r>
          </w:p>
        </w:tc>
      </w:tr>
      <w:tr w:rsidR="00727C78" w:rsidRPr="001666F8" w:rsidTr="00CC2321">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727C78" w:rsidRPr="00315800" w:rsidRDefault="00727C78" w:rsidP="00CC2321">
            <w:pPr>
              <w:rPr>
                <w:rFonts w:ascii="Calibri" w:hAnsi="Calibri"/>
                <w:b w:val="0"/>
                <w:bCs w:val="0"/>
                <w:color w:val="000000"/>
                <w:sz w:val="20"/>
                <w:szCs w:val="20"/>
              </w:rPr>
            </w:pPr>
            <w:r w:rsidRPr="00315800">
              <w:rPr>
                <w:rFonts w:ascii="Calibri" w:hAnsi="Calibri"/>
                <w:b w:val="0"/>
                <w:bCs w:val="0"/>
                <w:color w:val="000000"/>
                <w:sz w:val="20"/>
                <w:szCs w:val="20"/>
              </w:rPr>
              <w:t>Registered at the year of manufacture</w:t>
            </w:r>
          </w:p>
        </w:tc>
        <w:tc>
          <w:tcPr>
            <w:tcW w:w="0" w:type="auto"/>
            <w:noWrap/>
            <w:vAlign w:val="bottom"/>
            <w:hideMark/>
          </w:tcPr>
          <w:p w:rsidR="00727C78" w:rsidRPr="00315800" w:rsidRDefault="00727C78" w:rsidP="00CC23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13327</w:t>
            </w:r>
          </w:p>
        </w:tc>
        <w:tc>
          <w:tcPr>
            <w:tcW w:w="0" w:type="auto"/>
            <w:noWrap/>
            <w:vAlign w:val="bottom"/>
            <w:hideMark/>
          </w:tcPr>
          <w:p w:rsidR="00727C78" w:rsidRPr="00315800" w:rsidRDefault="00727C78" w:rsidP="00CC23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22550</w:t>
            </w:r>
          </w:p>
        </w:tc>
        <w:tc>
          <w:tcPr>
            <w:tcW w:w="0" w:type="auto"/>
            <w:noWrap/>
            <w:vAlign w:val="bottom"/>
            <w:hideMark/>
          </w:tcPr>
          <w:p w:rsidR="00727C78" w:rsidRPr="00315800" w:rsidRDefault="00727C78" w:rsidP="00CC23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14931</w:t>
            </w:r>
          </w:p>
        </w:tc>
        <w:tc>
          <w:tcPr>
            <w:tcW w:w="0" w:type="auto"/>
            <w:noWrap/>
            <w:vAlign w:val="bottom"/>
            <w:hideMark/>
          </w:tcPr>
          <w:p w:rsidR="00727C78" w:rsidRPr="00315800" w:rsidRDefault="00727C78" w:rsidP="00CC23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21143</w:t>
            </w:r>
          </w:p>
        </w:tc>
      </w:tr>
      <w:tr w:rsidR="00727C78" w:rsidRPr="001666F8" w:rsidTr="00CC2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727C78" w:rsidRPr="00315800" w:rsidRDefault="00727C78" w:rsidP="00CC2321">
            <w:pPr>
              <w:rPr>
                <w:rFonts w:ascii="Calibri" w:hAnsi="Calibri"/>
                <w:b w:val="0"/>
                <w:bCs w:val="0"/>
                <w:color w:val="000000"/>
                <w:sz w:val="20"/>
                <w:szCs w:val="20"/>
              </w:rPr>
            </w:pPr>
            <w:r w:rsidRPr="00315800">
              <w:rPr>
                <w:rFonts w:ascii="Calibri" w:hAnsi="Calibri"/>
                <w:b w:val="0"/>
                <w:bCs w:val="0"/>
                <w:color w:val="000000"/>
                <w:sz w:val="20"/>
                <w:szCs w:val="20"/>
              </w:rPr>
              <w:t>Registered between one and three years after the year of the manufacture</w:t>
            </w:r>
          </w:p>
        </w:tc>
        <w:tc>
          <w:tcPr>
            <w:tcW w:w="0" w:type="auto"/>
            <w:noWrap/>
            <w:vAlign w:val="bottom"/>
            <w:hideMark/>
          </w:tcPr>
          <w:p w:rsidR="00727C78" w:rsidRPr="00315800" w:rsidRDefault="00727C78" w:rsidP="00CC23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2912</w:t>
            </w:r>
          </w:p>
        </w:tc>
        <w:tc>
          <w:tcPr>
            <w:tcW w:w="0" w:type="auto"/>
            <w:noWrap/>
            <w:vAlign w:val="bottom"/>
            <w:hideMark/>
          </w:tcPr>
          <w:p w:rsidR="00727C78" w:rsidRPr="00315800" w:rsidRDefault="00727C78" w:rsidP="00CC23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2769</w:t>
            </w:r>
          </w:p>
        </w:tc>
        <w:tc>
          <w:tcPr>
            <w:tcW w:w="0" w:type="auto"/>
            <w:noWrap/>
            <w:vAlign w:val="bottom"/>
            <w:hideMark/>
          </w:tcPr>
          <w:p w:rsidR="00727C78" w:rsidRPr="00315800" w:rsidRDefault="00727C78" w:rsidP="00CC23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2156</w:t>
            </w:r>
          </w:p>
        </w:tc>
        <w:tc>
          <w:tcPr>
            <w:tcW w:w="0" w:type="auto"/>
            <w:noWrap/>
            <w:vAlign w:val="bottom"/>
            <w:hideMark/>
          </w:tcPr>
          <w:p w:rsidR="00727C78" w:rsidRPr="00315800" w:rsidRDefault="00727C78" w:rsidP="00CC23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2191</w:t>
            </w:r>
          </w:p>
        </w:tc>
      </w:tr>
      <w:tr w:rsidR="00727C78" w:rsidRPr="001666F8" w:rsidTr="00CC2321">
        <w:trPr>
          <w:trHeight w:val="315"/>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727C78" w:rsidRPr="00315800" w:rsidRDefault="00727C78" w:rsidP="00CC2321">
            <w:pPr>
              <w:rPr>
                <w:rFonts w:ascii="Calibri" w:hAnsi="Calibri"/>
                <w:b w:val="0"/>
                <w:bCs w:val="0"/>
                <w:color w:val="000000"/>
                <w:sz w:val="20"/>
                <w:szCs w:val="20"/>
              </w:rPr>
            </w:pPr>
            <w:r w:rsidRPr="00315800">
              <w:rPr>
                <w:rFonts w:ascii="Calibri" w:hAnsi="Calibri"/>
                <w:b w:val="0"/>
                <w:bCs w:val="0"/>
                <w:color w:val="000000"/>
                <w:sz w:val="20"/>
                <w:szCs w:val="20"/>
              </w:rPr>
              <w:t>Registered at more than three years after the year of the manufacture</w:t>
            </w:r>
          </w:p>
        </w:tc>
        <w:tc>
          <w:tcPr>
            <w:tcW w:w="0" w:type="auto"/>
            <w:noWrap/>
            <w:vAlign w:val="bottom"/>
            <w:hideMark/>
          </w:tcPr>
          <w:p w:rsidR="00727C78" w:rsidRPr="00315800" w:rsidRDefault="00727C78" w:rsidP="00CC23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3294</w:t>
            </w:r>
          </w:p>
        </w:tc>
        <w:tc>
          <w:tcPr>
            <w:tcW w:w="0" w:type="auto"/>
            <w:noWrap/>
            <w:vAlign w:val="bottom"/>
            <w:hideMark/>
          </w:tcPr>
          <w:p w:rsidR="00727C78" w:rsidRPr="00315800" w:rsidRDefault="00727C78" w:rsidP="00CC23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1174</w:t>
            </w:r>
          </w:p>
        </w:tc>
        <w:tc>
          <w:tcPr>
            <w:tcW w:w="0" w:type="auto"/>
            <w:noWrap/>
            <w:vAlign w:val="bottom"/>
            <w:hideMark/>
          </w:tcPr>
          <w:p w:rsidR="00727C78" w:rsidRPr="00315800" w:rsidRDefault="00727C78" w:rsidP="00CC23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0</w:t>
            </w:r>
          </w:p>
        </w:tc>
        <w:tc>
          <w:tcPr>
            <w:tcW w:w="0" w:type="auto"/>
            <w:noWrap/>
            <w:vAlign w:val="bottom"/>
            <w:hideMark/>
          </w:tcPr>
          <w:p w:rsidR="00727C78" w:rsidRPr="00315800" w:rsidRDefault="00727C78" w:rsidP="00CC23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315800">
              <w:rPr>
                <w:rFonts w:ascii="Calibri" w:hAnsi="Calibri"/>
                <w:color w:val="000000"/>
                <w:sz w:val="20"/>
                <w:szCs w:val="20"/>
              </w:rPr>
              <w:t>0</w:t>
            </w:r>
          </w:p>
        </w:tc>
      </w:tr>
      <w:tr w:rsidR="00727C78" w:rsidRPr="001666F8" w:rsidTr="00CC232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727C78" w:rsidRPr="001666F8" w:rsidRDefault="00727C78" w:rsidP="00CC2321">
            <w:pPr>
              <w:rPr>
                <w:rFonts w:eastAsia="Times New Roman" w:cs="Arial"/>
                <w:b w:val="0"/>
                <w:bCs w:val="0"/>
                <w:color w:val="000000"/>
                <w:sz w:val="20"/>
                <w:szCs w:val="20"/>
              </w:rPr>
            </w:pPr>
            <w:r w:rsidRPr="001666F8">
              <w:rPr>
                <w:rFonts w:eastAsia="Times New Roman" w:cs="Arial"/>
                <w:b w:val="0"/>
                <w:bCs w:val="0"/>
                <w:color w:val="000000"/>
                <w:sz w:val="20"/>
                <w:szCs w:val="20"/>
              </w:rPr>
              <w:t>N.A.</w:t>
            </w:r>
          </w:p>
        </w:tc>
        <w:tc>
          <w:tcPr>
            <w:tcW w:w="0" w:type="auto"/>
            <w:noWrap/>
            <w:vAlign w:val="center"/>
            <w:hideMark/>
          </w:tcPr>
          <w:p w:rsidR="00727C78" w:rsidRPr="001666F8" w:rsidRDefault="00727C78" w:rsidP="00CC232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1666F8">
              <w:rPr>
                <w:rFonts w:eastAsia="Times New Roman" w:cs="Arial"/>
                <w:color w:val="000000"/>
                <w:sz w:val="20"/>
                <w:szCs w:val="20"/>
              </w:rPr>
              <w:t>42</w:t>
            </w:r>
          </w:p>
        </w:tc>
        <w:tc>
          <w:tcPr>
            <w:tcW w:w="0" w:type="auto"/>
            <w:noWrap/>
            <w:vAlign w:val="center"/>
            <w:hideMark/>
          </w:tcPr>
          <w:p w:rsidR="00727C78" w:rsidRPr="001666F8" w:rsidRDefault="00727C78" w:rsidP="00CC232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1666F8">
              <w:rPr>
                <w:rFonts w:eastAsia="Times New Roman" w:cs="Times New Roman"/>
                <w:color w:val="000000"/>
                <w:sz w:val="20"/>
                <w:szCs w:val="20"/>
              </w:rPr>
              <w:t>67</w:t>
            </w:r>
          </w:p>
        </w:tc>
        <w:tc>
          <w:tcPr>
            <w:tcW w:w="0" w:type="auto"/>
            <w:noWrap/>
            <w:vAlign w:val="center"/>
            <w:hideMark/>
          </w:tcPr>
          <w:p w:rsidR="00727C78" w:rsidRPr="001666F8" w:rsidRDefault="00727C78" w:rsidP="00CC232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1666F8">
              <w:rPr>
                <w:rFonts w:eastAsia="Times New Roman" w:cs="Times New Roman"/>
                <w:color w:val="000000"/>
                <w:sz w:val="20"/>
                <w:szCs w:val="20"/>
              </w:rPr>
              <w:t>2</w:t>
            </w:r>
          </w:p>
        </w:tc>
        <w:tc>
          <w:tcPr>
            <w:tcW w:w="0" w:type="auto"/>
            <w:noWrap/>
            <w:vAlign w:val="center"/>
            <w:hideMark/>
          </w:tcPr>
          <w:p w:rsidR="00727C78" w:rsidRPr="001666F8" w:rsidRDefault="00727C78" w:rsidP="00CC232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1666F8">
              <w:rPr>
                <w:rFonts w:eastAsia="Times New Roman" w:cs="Times New Roman"/>
                <w:color w:val="000000"/>
                <w:sz w:val="20"/>
                <w:szCs w:val="20"/>
              </w:rPr>
              <w:t>2</w:t>
            </w:r>
          </w:p>
        </w:tc>
      </w:tr>
      <w:tr w:rsidR="00727C78" w:rsidRPr="001666F8" w:rsidTr="00CC2321">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727C78" w:rsidRPr="001666F8" w:rsidRDefault="00727C78" w:rsidP="00CC2321">
            <w:pPr>
              <w:rPr>
                <w:rFonts w:eastAsia="Times New Roman" w:cs="Times New Roman"/>
                <w:b w:val="0"/>
                <w:bCs w:val="0"/>
                <w:color w:val="000000"/>
                <w:sz w:val="20"/>
                <w:szCs w:val="20"/>
              </w:rPr>
            </w:pPr>
            <w:r w:rsidRPr="001666F8">
              <w:rPr>
                <w:rFonts w:eastAsia="Times New Roman" w:cs="Times New Roman"/>
                <w:b w:val="0"/>
                <w:bCs w:val="0"/>
                <w:color w:val="000000"/>
                <w:sz w:val="20"/>
                <w:szCs w:val="20"/>
              </w:rPr>
              <w:t>Total</w:t>
            </w:r>
          </w:p>
        </w:tc>
        <w:tc>
          <w:tcPr>
            <w:tcW w:w="0" w:type="auto"/>
            <w:noWrap/>
            <w:vAlign w:val="center"/>
            <w:hideMark/>
          </w:tcPr>
          <w:p w:rsidR="00727C78" w:rsidRPr="001666F8" w:rsidRDefault="00727C78" w:rsidP="00CC232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1666F8">
              <w:rPr>
                <w:rFonts w:eastAsia="Times New Roman" w:cs="Arial"/>
                <w:color w:val="000000"/>
                <w:sz w:val="20"/>
                <w:szCs w:val="20"/>
              </w:rPr>
              <w:t>25019</w:t>
            </w:r>
          </w:p>
        </w:tc>
        <w:tc>
          <w:tcPr>
            <w:tcW w:w="0" w:type="auto"/>
            <w:noWrap/>
            <w:vAlign w:val="center"/>
            <w:hideMark/>
          </w:tcPr>
          <w:p w:rsidR="00727C78" w:rsidRPr="001666F8" w:rsidRDefault="00727C78" w:rsidP="00CC232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666F8">
              <w:rPr>
                <w:rFonts w:eastAsia="Times New Roman" w:cs="Times New Roman"/>
                <w:color w:val="000000"/>
                <w:sz w:val="20"/>
                <w:szCs w:val="20"/>
              </w:rPr>
              <w:t>32229</w:t>
            </w:r>
          </w:p>
        </w:tc>
        <w:tc>
          <w:tcPr>
            <w:tcW w:w="0" w:type="auto"/>
            <w:noWrap/>
            <w:vAlign w:val="center"/>
            <w:hideMark/>
          </w:tcPr>
          <w:p w:rsidR="00727C78" w:rsidRPr="001666F8" w:rsidRDefault="00727C78" w:rsidP="00CC232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666F8">
              <w:rPr>
                <w:rFonts w:eastAsia="Times New Roman" w:cs="Times New Roman"/>
                <w:color w:val="000000"/>
                <w:sz w:val="20"/>
                <w:szCs w:val="20"/>
              </w:rPr>
              <w:t>20479</w:t>
            </w:r>
          </w:p>
        </w:tc>
        <w:tc>
          <w:tcPr>
            <w:tcW w:w="0" w:type="auto"/>
            <w:noWrap/>
            <w:vAlign w:val="center"/>
            <w:hideMark/>
          </w:tcPr>
          <w:p w:rsidR="00727C78" w:rsidRPr="001666F8" w:rsidRDefault="00727C78" w:rsidP="00CC232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666F8">
              <w:rPr>
                <w:rFonts w:eastAsia="Times New Roman" w:cs="Times New Roman"/>
                <w:color w:val="000000"/>
                <w:sz w:val="20"/>
                <w:szCs w:val="20"/>
              </w:rPr>
              <w:t>28552</w:t>
            </w:r>
          </w:p>
        </w:tc>
      </w:tr>
    </w:tbl>
    <w:p w:rsidR="00727C78" w:rsidRDefault="00727C78" w:rsidP="00727C78">
      <w:pPr>
        <w:spacing w:after="0" w:line="240" w:lineRule="auto"/>
        <w:jc w:val="both"/>
        <w:rPr>
          <w:sz w:val="24"/>
          <w:szCs w:val="24"/>
        </w:rPr>
      </w:pPr>
    </w:p>
    <w:p w:rsidR="002F4AEB" w:rsidRPr="00A52DA5" w:rsidRDefault="002F4AEB" w:rsidP="004D3B08">
      <w:pPr>
        <w:spacing w:after="0" w:line="240" w:lineRule="auto"/>
        <w:jc w:val="center"/>
        <w:rPr>
          <w:sz w:val="24"/>
          <w:szCs w:val="24"/>
        </w:rPr>
      </w:pPr>
    </w:p>
    <w:sectPr w:rsidR="002F4AEB" w:rsidRPr="00A52DA5" w:rsidSect="00CC23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68" w:rsidRDefault="00784E68" w:rsidP="007941A4">
      <w:pPr>
        <w:spacing w:after="0" w:line="240" w:lineRule="auto"/>
      </w:pPr>
      <w:r>
        <w:separator/>
      </w:r>
    </w:p>
  </w:endnote>
  <w:endnote w:type="continuationSeparator" w:id="0">
    <w:p w:rsidR="00784E68" w:rsidRDefault="00784E68" w:rsidP="0079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San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5610"/>
      <w:docPartObj>
        <w:docPartGallery w:val="Page Numbers (Bottom of Page)"/>
        <w:docPartUnique/>
      </w:docPartObj>
    </w:sdtPr>
    <w:sdtEndPr/>
    <w:sdtContent>
      <w:p w:rsidR="00BF10BF" w:rsidRDefault="00784E68">
        <w:pPr>
          <w:pStyle w:val="Footer"/>
          <w:jc w:val="right"/>
        </w:pPr>
        <w:r>
          <w:fldChar w:fldCharType="begin"/>
        </w:r>
        <w:r>
          <w:instrText xml:space="preserve"> PAGE   \* MERGEFORMAT </w:instrText>
        </w:r>
        <w:r>
          <w:fldChar w:fldCharType="separate"/>
        </w:r>
        <w:r w:rsidR="005B4134">
          <w:rPr>
            <w:noProof/>
          </w:rPr>
          <w:t>1</w:t>
        </w:r>
        <w:r>
          <w:rPr>
            <w:noProof/>
          </w:rPr>
          <w:fldChar w:fldCharType="end"/>
        </w:r>
      </w:p>
    </w:sdtContent>
  </w:sdt>
  <w:p w:rsidR="00BF10BF" w:rsidRDefault="00BF1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68" w:rsidRDefault="00784E68" w:rsidP="007941A4">
      <w:pPr>
        <w:spacing w:after="0" w:line="240" w:lineRule="auto"/>
      </w:pPr>
      <w:r>
        <w:separator/>
      </w:r>
    </w:p>
  </w:footnote>
  <w:footnote w:type="continuationSeparator" w:id="0">
    <w:p w:rsidR="00784E68" w:rsidRDefault="00784E68" w:rsidP="007941A4">
      <w:pPr>
        <w:spacing w:after="0" w:line="240" w:lineRule="auto"/>
      </w:pPr>
      <w:r>
        <w:continuationSeparator/>
      </w:r>
    </w:p>
  </w:footnote>
  <w:footnote w:id="1">
    <w:p w:rsidR="00BF10BF" w:rsidRPr="00680E57" w:rsidRDefault="00BF10BF" w:rsidP="007941A4">
      <w:pPr>
        <w:pStyle w:val="FootnoteText"/>
        <w:jc w:val="both"/>
        <w:rPr>
          <w:rFonts w:cs="Times New Roman"/>
          <w:b/>
          <w:bCs/>
        </w:rPr>
      </w:pPr>
      <w:r w:rsidRPr="00680E57">
        <w:rPr>
          <w:rStyle w:val="FootnoteReference"/>
          <w:rFonts w:cs="Times New Roman"/>
        </w:rPr>
        <w:footnoteRef/>
      </w:r>
      <w:r w:rsidRPr="00680E57">
        <w:rPr>
          <w:rStyle w:val="Strong"/>
          <w:rFonts w:cs="Times New Roman"/>
          <w:b w:val="0"/>
          <w:bCs w:val="0"/>
        </w:rPr>
        <w:t>FIA Foundation, International Energy Agency (IEA), International Transport Forum (ITF), United Nations Environment Programme (UNEP), and the International Council on Clean Transportation (ICCT).</w:t>
      </w:r>
    </w:p>
  </w:footnote>
  <w:footnote w:id="2">
    <w:p w:rsidR="00BF10BF" w:rsidRPr="00680E57" w:rsidRDefault="00BF10BF" w:rsidP="00613EDD">
      <w:pPr>
        <w:pStyle w:val="FootnoteText"/>
        <w:jc w:val="both"/>
        <w:rPr>
          <w:rFonts w:cs="Times New Roman"/>
        </w:rPr>
      </w:pPr>
      <w:r w:rsidRPr="00680E57">
        <w:rPr>
          <w:rStyle w:val="FootnoteReference"/>
          <w:rFonts w:cs="Times New Roman"/>
        </w:rPr>
        <w:footnoteRef/>
      </w:r>
      <w:r w:rsidRPr="00680E57">
        <w:rPr>
          <w:rFonts w:cs="Times New Roman"/>
        </w:rPr>
        <w:t>The correlation is significant at the 0.01 level (2-tailed)</w:t>
      </w:r>
    </w:p>
  </w:footnote>
  <w:footnote w:id="3">
    <w:p w:rsidR="00BF10BF" w:rsidRPr="00680E57" w:rsidRDefault="00BF10BF" w:rsidP="001E4398">
      <w:pPr>
        <w:pStyle w:val="FootnoteText"/>
      </w:pPr>
      <w:r w:rsidRPr="00680E57">
        <w:rPr>
          <w:rStyle w:val="FootnoteReference"/>
        </w:rPr>
        <w:footnoteRef/>
      </w:r>
      <w:r w:rsidRPr="00680E57">
        <w:t xml:space="preserve"> With regard to 2008 models</w:t>
      </w:r>
    </w:p>
  </w:footnote>
  <w:footnote w:id="4">
    <w:p w:rsidR="00BF10BF" w:rsidRPr="00680E57" w:rsidRDefault="00BF10BF" w:rsidP="001E4398">
      <w:pPr>
        <w:pStyle w:val="FootnoteText"/>
      </w:pPr>
      <w:r w:rsidRPr="00680E57">
        <w:rPr>
          <w:rStyle w:val="FootnoteReference"/>
        </w:rPr>
        <w:footnoteRef/>
      </w:r>
      <w:r w:rsidRPr="00680E57">
        <w:t xml:space="preserve"> For passenger vehicles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2D4"/>
    <w:multiLevelType w:val="hybridMultilevel"/>
    <w:tmpl w:val="E2489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22C7B"/>
    <w:multiLevelType w:val="multilevel"/>
    <w:tmpl w:val="846802EC"/>
    <w:lvl w:ilvl="0">
      <w:start w:val="1"/>
      <w:numFmt w:val="none"/>
      <w:pStyle w:val="Heading1"/>
      <w:lvlText w:val=""/>
      <w:lvlJc w:val="left"/>
      <w:pPr>
        <w:ind w:left="357" w:hanging="357"/>
      </w:pPr>
      <w:rPr>
        <w:rFonts w:hint="default"/>
      </w:rPr>
    </w:lvl>
    <w:lvl w:ilvl="1">
      <w:start w:val="1"/>
      <w:numFmt w:val="decimal"/>
      <w:pStyle w:val="Heading2"/>
      <w:lvlText w:val="%2."/>
      <w:lvlJc w:val="left"/>
      <w:pPr>
        <w:ind w:left="714" w:hanging="357"/>
      </w:pPr>
      <w:rPr>
        <w:rFonts w:hint="default"/>
      </w:rPr>
    </w:lvl>
    <w:lvl w:ilvl="2">
      <w:start w:val="1"/>
      <w:numFmt w:val="decimal"/>
      <w:pStyle w:val="Heading3"/>
      <w:lvlText w:val="%2.%3."/>
      <w:lvlJc w:val="left"/>
      <w:pPr>
        <w:ind w:left="1071" w:hanging="357"/>
      </w:pPr>
      <w:rPr>
        <w:rFonts w:hint="default"/>
      </w:rPr>
    </w:lvl>
    <w:lvl w:ilvl="3">
      <w:start w:val="1"/>
      <w:numFmt w:val="decimal"/>
      <w:pStyle w:val="Heading4"/>
      <w:lvlText w:val="%2.%3.%4."/>
      <w:lvlJc w:val="left"/>
      <w:pPr>
        <w:ind w:left="1428" w:hanging="357"/>
      </w:pPr>
      <w:rPr>
        <w:rFonts w:hint="default"/>
      </w:rPr>
    </w:lvl>
    <w:lvl w:ilvl="4">
      <w:start w:val="1"/>
      <w:numFmt w:val="decimal"/>
      <w:pStyle w:val="Heading5"/>
      <w:lvlText w:val="%2.%3.%4.%5."/>
      <w:lvlJc w:val="left"/>
      <w:pPr>
        <w:ind w:left="1785" w:hanging="357"/>
      </w:pPr>
      <w:rPr>
        <w:rFonts w:hint="default"/>
      </w:rPr>
    </w:lvl>
    <w:lvl w:ilvl="5">
      <w:start w:val="1"/>
      <w:numFmt w:val="decimal"/>
      <w:pStyle w:val="Heading6"/>
      <w:lvlText w:val="%2.%3.%4.%5.%6."/>
      <w:lvlJc w:val="left"/>
      <w:pPr>
        <w:ind w:left="2142" w:hanging="357"/>
      </w:pPr>
      <w:rPr>
        <w:rFonts w:hint="default"/>
      </w:rPr>
    </w:lvl>
    <w:lvl w:ilvl="6">
      <w:start w:val="1"/>
      <w:numFmt w:val="decimal"/>
      <w:pStyle w:val="Heading7"/>
      <w:lvlText w:val="%2.%3.%4.%5.%6.%7."/>
      <w:lvlJc w:val="left"/>
      <w:pPr>
        <w:ind w:left="2499" w:hanging="357"/>
      </w:pPr>
      <w:rPr>
        <w:rFonts w:hint="default"/>
      </w:rPr>
    </w:lvl>
    <w:lvl w:ilvl="7">
      <w:start w:val="1"/>
      <w:numFmt w:val="decimal"/>
      <w:pStyle w:val="Heading8"/>
      <w:lvlText w:val="%2.%3.%4.%5.%6.%7.%8."/>
      <w:lvlJc w:val="left"/>
      <w:pPr>
        <w:ind w:left="2856" w:hanging="357"/>
      </w:pPr>
      <w:rPr>
        <w:rFonts w:hint="default"/>
      </w:rPr>
    </w:lvl>
    <w:lvl w:ilvl="8">
      <w:start w:val="1"/>
      <w:numFmt w:val="decimal"/>
      <w:pStyle w:val="Heading9"/>
      <w:lvlText w:val="%2.%3.%4.%5.%6.%7.%8.%9."/>
      <w:lvlJc w:val="left"/>
      <w:pPr>
        <w:ind w:left="3213" w:hanging="357"/>
      </w:pPr>
      <w:rPr>
        <w:rFonts w:hint="default"/>
      </w:rPr>
    </w:lvl>
  </w:abstractNum>
  <w:abstractNum w:abstractNumId="2">
    <w:nsid w:val="307D75B7"/>
    <w:multiLevelType w:val="hybridMultilevel"/>
    <w:tmpl w:val="C130E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D1D12"/>
    <w:multiLevelType w:val="hybridMultilevel"/>
    <w:tmpl w:val="25521058"/>
    <w:lvl w:ilvl="0" w:tplc="C1FEA0F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938A8"/>
    <w:multiLevelType w:val="hybridMultilevel"/>
    <w:tmpl w:val="1262C11A"/>
    <w:lvl w:ilvl="0" w:tplc="7E7254A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97808"/>
    <w:multiLevelType w:val="multilevel"/>
    <w:tmpl w:val="A43ADFEE"/>
    <w:lvl w:ilvl="0">
      <w:start w:val="1"/>
      <w:numFmt w:val="decimal"/>
      <w:lvlText w:val="%1."/>
      <w:lvlJc w:val="left"/>
      <w:pPr>
        <w:ind w:left="360" w:hanging="360"/>
      </w:pPr>
      <w:rPr>
        <w:rFonts w:cs="Arial"/>
        <w:szCs w:val="20"/>
      </w:rPr>
    </w:lvl>
    <w:lvl w:ilvl="1">
      <w:start w:val="1"/>
      <w:numFmt w:val="decimal"/>
      <w:lvlText w:val="%1.%2."/>
      <w:lvlJc w:val="left"/>
      <w:pPr>
        <w:ind w:left="432" w:hanging="432"/>
      </w:pPr>
      <w:rPr>
        <w:rFonts w:cs="Arial"/>
        <w:szCs w:val="20"/>
      </w:rPr>
    </w:lvl>
    <w:lvl w:ilvl="2">
      <w:start w:val="1"/>
      <w:numFmt w:val="decimal"/>
      <w:lvlText w:val="%1.%2.%3."/>
      <w:lvlJc w:val="left"/>
      <w:pPr>
        <w:ind w:left="504" w:hanging="504"/>
      </w:pPr>
      <w:rPr>
        <w:rFonts w:cs="Arial"/>
        <w:szCs w:val="20"/>
      </w:rPr>
    </w:lvl>
    <w:lvl w:ilvl="3">
      <w:start w:val="1"/>
      <w:numFmt w:val="decimal"/>
      <w:lvlText w:val="%1.%2.%3.%4."/>
      <w:lvlJc w:val="left"/>
      <w:pPr>
        <w:ind w:left="648" w:hanging="648"/>
      </w:pPr>
      <w:rPr>
        <w:rFonts w:cs="Arial"/>
        <w:szCs w:val="20"/>
      </w:rPr>
    </w:lvl>
    <w:lvl w:ilvl="4">
      <w:start w:val="1"/>
      <w:numFmt w:val="decimal"/>
      <w:lvlText w:val="%1.%2.%3.%4.%5."/>
      <w:lvlJc w:val="left"/>
      <w:pPr>
        <w:ind w:left="792" w:hanging="792"/>
      </w:pPr>
      <w:rPr>
        <w:rFonts w:cs="Arial"/>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4"/>
  </w:num>
  <w:num w:numId="13">
    <w:abstractNumId w:val="0"/>
  </w:num>
  <w:num w:numId="14">
    <w:abstractNumId w:val="2"/>
  </w:num>
  <w:num w:numId="15">
    <w:abstractNumId w:val="1"/>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D8"/>
    <w:rsid w:val="0000000E"/>
    <w:rsid w:val="0000172C"/>
    <w:rsid w:val="000036BA"/>
    <w:rsid w:val="00016259"/>
    <w:rsid w:val="0002113D"/>
    <w:rsid w:val="00023036"/>
    <w:rsid w:val="00024F8F"/>
    <w:rsid w:val="0003051E"/>
    <w:rsid w:val="00033918"/>
    <w:rsid w:val="00036247"/>
    <w:rsid w:val="000432B4"/>
    <w:rsid w:val="00043ED5"/>
    <w:rsid w:val="00044DCF"/>
    <w:rsid w:val="00050D7F"/>
    <w:rsid w:val="0005769E"/>
    <w:rsid w:val="00060BC5"/>
    <w:rsid w:val="000665EF"/>
    <w:rsid w:val="00067EC4"/>
    <w:rsid w:val="00070197"/>
    <w:rsid w:val="00070E29"/>
    <w:rsid w:val="00077A0D"/>
    <w:rsid w:val="00080C7C"/>
    <w:rsid w:val="00082AB3"/>
    <w:rsid w:val="0009164F"/>
    <w:rsid w:val="00093D9B"/>
    <w:rsid w:val="0009453A"/>
    <w:rsid w:val="000A0C61"/>
    <w:rsid w:val="000A1521"/>
    <w:rsid w:val="000A3B88"/>
    <w:rsid w:val="000A4531"/>
    <w:rsid w:val="000A6E6A"/>
    <w:rsid w:val="000B540D"/>
    <w:rsid w:val="000B669D"/>
    <w:rsid w:val="000C53C1"/>
    <w:rsid w:val="000E0F5B"/>
    <w:rsid w:val="000E2F65"/>
    <w:rsid w:val="000E3E6D"/>
    <w:rsid w:val="000E3FAB"/>
    <w:rsid w:val="000E47E8"/>
    <w:rsid w:val="000F0F94"/>
    <w:rsid w:val="000F7086"/>
    <w:rsid w:val="000F7FFC"/>
    <w:rsid w:val="00100F82"/>
    <w:rsid w:val="001030C1"/>
    <w:rsid w:val="00106531"/>
    <w:rsid w:val="00107ABE"/>
    <w:rsid w:val="00110C7F"/>
    <w:rsid w:val="00112BFC"/>
    <w:rsid w:val="00112E25"/>
    <w:rsid w:val="001310CB"/>
    <w:rsid w:val="0014055C"/>
    <w:rsid w:val="00140580"/>
    <w:rsid w:val="001425AD"/>
    <w:rsid w:val="001460DB"/>
    <w:rsid w:val="00155187"/>
    <w:rsid w:val="0016227A"/>
    <w:rsid w:val="001666F8"/>
    <w:rsid w:val="00173F8F"/>
    <w:rsid w:val="00174512"/>
    <w:rsid w:val="00174C1D"/>
    <w:rsid w:val="00176614"/>
    <w:rsid w:val="00181270"/>
    <w:rsid w:val="00186322"/>
    <w:rsid w:val="001939AC"/>
    <w:rsid w:val="001A7B62"/>
    <w:rsid w:val="001B18AB"/>
    <w:rsid w:val="001B5378"/>
    <w:rsid w:val="001C1268"/>
    <w:rsid w:val="001C4515"/>
    <w:rsid w:val="001C5768"/>
    <w:rsid w:val="001C5DA4"/>
    <w:rsid w:val="001D1CC1"/>
    <w:rsid w:val="001D2909"/>
    <w:rsid w:val="001D428C"/>
    <w:rsid w:val="001D4CBA"/>
    <w:rsid w:val="001D5565"/>
    <w:rsid w:val="001E1CE4"/>
    <w:rsid w:val="001E4398"/>
    <w:rsid w:val="001F1846"/>
    <w:rsid w:val="001F2587"/>
    <w:rsid w:val="001F4BF4"/>
    <w:rsid w:val="001F76C3"/>
    <w:rsid w:val="002052CC"/>
    <w:rsid w:val="00206668"/>
    <w:rsid w:val="0021364A"/>
    <w:rsid w:val="00213B56"/>
    <w:rsid w:val="00220C8A"/>
    <w:rsid w:val="002219AE"/>
    <w:rsid w:val="002222D7"/>
    <w:rsid w:val="0022561E"/>
    <w:rsid w:val="00226F1F"/>
    <w:rsid w:val="00232FB9"/>
    <w:rsid w:val="002359D4"/>
    <w:rsid w:val="002404EC"/>
    <w:rsid w:val="00242EB5"/>
    <w:rsid w:val="00243BD7"/>
    <w:rsid w:val="002456FA"/>
    <w:rsid w:val="00253283"/>
    <w:rsid w:val="00266A6F"/>
    <w:rsid w:val="002742F0"/>
    <w:rsid w:val="00277C2F"/>
    <w:rsid w:val="00283BC5"/>
    <w:rsid w:val="0028790B"/>
    <w:rsid w:val="00290D07"/>
    <w:rsid w:val="002916FA"/>
    <w:rsid w:val="00293C32"/>
    <w:rsid w:val="0029605D"/>
    <w:rsid w:val="002A05A3"/>
    <w:rsid w:val="002A3DA7"/>
    <w:rsid w:val="002A4767"/>
    <w:rsid w:val="002A7666"/>
    <w:rsid w:val="002A7A91"/>
    <w:rsid w:val="002B23D8"/>
    <w:rsid w:val="002B4B23"/>
    <w:rsid w:val="002C314E"/>
    <w:rsid w:val="002C35D5"/>
    <w:rsid w:val="002D0E61"/>
    <w:rsid w:val="002D2BD3"/>
    <w:rsid w:val="002D3985"/>
    <w:rsid w:val="002D6F1C"/>
    <w:rsid w:val="002D7E95"/>
    <w:rsid w:val="002F3BFE"/>
    <w:rsid w:val="002F4AEB"/>
    <w:rsid w:val="00304CC8"/>
    <w:rsid w:val="00305D6C"/>
    <w:rsid w:val="00306915"/>
    <w:rsid w:val="00306CCF"/>
    <w:rsid w:val="00314441"/>
    <w:rsid w:val="00315659"/>
    <w:rsid w:val="00315800"/>
    <w:rsid w:val="0032066E"/>
    <w:rsid w:val="0032416C"/>
    <w:rsid w:val="00325C20"/>
    <w:rsid w:val="00327680"/>
    <w:rsid w:val="003312DD"/>
    <w:rsid w:val="00332CEB"/>
    <w:rsid w:val="003401C7"/>
    <w:rsid w:val="00342BE2"/>
    <w:rsid w:val="003505A7"/>
    <w:rsid w:val="00354C65"/>
    <w:rsid w:val="00356D20"/>
    <w:rsid w:val="00361E18"/>
    <w:rsid w:val="003635F1"/>
    <w:rsid w:val="003639EC"/>
    <w:rsid w:val="00370A24"/>
    <w:rsid w:val="00370E84"/>
    <w:rsid w:val="00372992"/>
    <w:rsid w:val="003760A7"/>
    <w:rsid w:val="0038673C"/>
    <w:rsid w:val="00386C4E"/>
    <w:rsid w:val="003936C3"/>
    <w:rsid w:val="003976B8"/>
    <w:rsid w:val="00397742"/>
    <w:rsid w:val="00397D16"/>
    <w:rsid w:val="00397D1D"/>
    <w:rsid w:val="003A182A"/>
    <w:rsid w:val="003A61EB"/>
    <w:rsid w:val="003B0FBF"/>
    <w:rsid w:val="003B74CB"/>
    <w:rsid w:val="003B7FF9"/>
    <w:rsid w:val="003C17A8"/>
    <w:rsid w:val="003C4E00"/>
    <w:rsid w:val="003D10FC"/>
    <w:rsid w:val="003D2BB6"/>
    <w:rsid w:val="003D5364"/>
    <w:rsid w:val="003F0943"/>
    <w:rsid w:val="003F195E"/>
    <w:rsid w:val="003F690E"/>
    <w:rsid w:val="00404592"/>
    <w:rsid w:val="004143D6"/>
    <w:rsid w:val="00414B15"/>
    <w:rsid w:val="00416C7C"/>
    <w:rsid w:val="00417372"/>
    <w:rsid w:val="0042043F"/>
    <w:rsid w:val="004213A3"/>
    <w:rsid w:val="00421751"/>
    <w:rsid w:val="00422353"/>
    <w:rsid w:val="00423687"/>
    <w:rsid w:val="00425E28"/>
    <w:rsid w:val="00426CF3"/>
    <w:rsid w:val="00427CF3"/>
    <w:rsid w:val="004325C5"/>
    <w:rsid w:val="00433F2D"/>
    <w:rsid w:val="00435129"/>
    <w:rsid w:val="0043577C"/>
    <w:rsid w:val="00435FF3"/>
    <w:rsid w:val="00444A42"/>
    <w:rsid w:val="00447855"/>
    <w:rsid w:val="00450706"/>
    <w:rsid w:val="00467241"/>
    <w:rsid w:val="00482F04"/>
    <w:rsid w:val="00485120"/>
    <w:rsid w:val="00486909"/>
    <w:rsid w:val="00491AD4"/>
    <w:rsid w:val="00496F03"/>
    <w:rsid w:val="004A4D0F"/>
    <w:rsid w:val="004A51D6"/>
    <w:rsid w:val="004B0714"/>
    <w:rsid w:val="004B35F9"/>
    <w:rsid w:val="004B491F"/>
    <w:rsid w:val="004B54A0"/>
    <w:rsid w:val="004B6F88"/>
    <w:rsid w:val="004C2BA3"/>
    <w:rsid w:val="004C643A"/>
    <w:rsid w:val="004C6747"/>
    <w:rsid w:val="004D00CC"/>
    <w:rsid w:val="004D0633"/>
    <w:rsid w:val="004D395E"/>
    <w:rsid w:val="004D3B08"/>
    <w:rsid w:val="004D41A7"/>
    <w:rsid w:val="004E2E90"/>
    <w:rsid w:val="004E4F2B"/>
    <w:rsid w:val="004E753D"/>
    <w:rsid w:val="004F3DA1"/>
    <w:rsid w:val="004F5CA4"/>
    <w:rsid w:val="00504FE8"/>
    <w:rsid w:val="00505370"/>
    <w:rsid w:val="00505655"/>
    <w:rsid w:val="00506D14"/>
    <w:rsid w:val="00511FCB"/>
    <w:rsid w:val="005137DD"/>
    <w:rsid w:val="00513F7B"/>
    <w:rsid w:val="0051751D"/>
    <w:rsid w:val="005250D0"/>
    <w:rsid w:val="00525FD4"/>
    <w:rsid w:val="00526738"/>
    <w:rsid w:val="0054071E"/>
    <w:rsid w:val="00550DE9"/>
    <w:rsid w:val="00552C89"/>
    <w:rsid w:val="0055468C"/>
    <w:rsid w:val="005616CC"/>
    <w:rsid w:val="00565BBD"/>
    <w:rsid w:val="00567C44"/>
    <w:rsid w:val="005742ED"/>
    <w:rsid w:val="005743E2"/>
    <w:rsid w:val="005763FD"/>
    <w:rsid w:val="00576A96"/>
    <w:rsid w:val="00583D6F"/>
    <w:rsid w:val="00585B42"/>
    <w:rsid w:val="00592D28"/>
    <w:rsid w:val="005939B2"/>
    <w:rsid w:val="00595342"/>
    <w:rsid w:val="0059594E"/>
    <w:rsid w:val="005A0354"/>
    <w:rsid w:val="005B08A9"/>
    <w:rsid w:val="005B3A05"/>
    <w:rsid w:val="005B4134"/>
    <w:rsid w:val="005C1E62"/>
    <w:rsid w:val="005C3837"/>
    <w:rsid w:val="005C741C"/>
    <w:rsid w:val="005D4DB8"/>
    <w:rsid w:val="005D56B3"/>
    <w:rsid w:val="005E0954"/>
    <w:rsid w:val="005E34FA"/>
    <w:rsid w:val="005E7729"/>
    <w:rsid w:val="005F3B62"/>
    <w:rsid w:val="005F3F85"/>
    <w:rsid w:val="005F553E"/>
    <w:rsid w:val="005F76DB"/>
    <w:rsid w:val="006028A4"/>
    <w:rsid w:val="00611F51"/>
    <w:rsid w:val="00613EDD"/>
    <w:rsid w:val="00615928"/>
    <w:rsid w:val="00632E21"/>
    <w:rsid w:val="00643CF7"/>
    <w:rsid w:val="0065061F"/>
    <w:rsid w:val="006530F4"/>
    <w:rsid w:val="006616CD"/>
    <w:rsid w:val="00671B59"/>
    <w:rsid w:val="006804C4"/>
    <w:rsid w:val="00680E57"/>
    <w:rsid w:val="0069058F"/>
    <w:rsid w:val="006930D9"/>
    <w:rsid w:val="006954E0"/>
    <w:rsid w:val="0069565D"/>
    <w:rsid w:val="0069701F"/>
    <w:rsid w:val="006A000B"/>
    <w:rsid w:val="006A4741"/>
    <w:rsid w:val="006B192B"/>
    <w:rsid w:val="006B5140"/>
    <w:rsid w:val="006B6212"/>
    <w:rsid w:val="006B6622"/>
    <w:rsid w:val="006C04CC"/>
    <w:rsid w:val="006D0CDA"/>
    <w:rsid w:val="006D2FE8"/>
    <w:rsid w:val="006D6E88"/>
    <w:rsid w:val="006E736F"/>
    <w:rsid w:val="006F089A"/>
    <w:rsid w:val="006F23F2"/>
    <w:rsid w:val="00715119"/>
    <w:rsid w:val="007157E6"/>
    <w:rsid w:val="0072790F"/>
    <w:rsid w:val="00727C78"/>
    <w:rsid w:val="0073074F"/>
    <w:rsid w:val="00730DB5"/>
    <w:rsid w:val="007316C9"/>
    <w:rsid w:val="0074096C"/>
    <w:rsid w:val="007412E3"/>
    <w:rsid w:val="0075081B"/>
    <w:rsid w:val="00751D45"/>
    <w:rsid w:val="00751FBF"/>
    <w:rsid w:val="00754840"/>
    <w:rsid w:val="0077002B"/>
    <w:rsid w:val="0077011B"/>
    <w:rsid w:val="007753CD"/>
    <w:rsid w:val="007766F5"/>
    <w:rsid w:val="00776E01"/>
    <w:rsid w:val="00777359"/>
    <w:rsid w:val="00781BD4"/>
    <w:rsid w:val="00784E68"/>
    <w:rsid w:val="00792341"/>
    <w:rsid w:val="007941A4"/>
    <w:rsid w:val="0079684E"/>
    <w:rsid w:val="00796904"/>
    <w:rsid w:val="007A278E"/>
    <w:rsid w:val="007A5166"/>
    <w:rsid w:val="007A5995"/>
    <w:rsid w:val="007B0BFA"/>
    <w:rsid w:val="007B7C8A"/>
    <w:rsid w:val="007D0D29"/>
    <w:rsid w:val="007D4CF3"/>
    <w:rsid w:val="007D54CD"/>
    <w:rsid w:val="007D6DA5"/>
    <w:rsid w:val="007E3527"/>
    <w:rsid w:val="007E6064"/>
    <w:rsid w:val="007F0132"/>
    <w:rsid w:val="007F6D5B"/>
    <w:rsid w:val="007F7168"/>
    <w:rsid w:val="00806F41"/>
    <w:rsid w:val="00813F2A"/>
    <w:rsid w:val="00815178"/>
    <w:rsid w:val="00815356"/>
    <w:rsid w:val="008170BB"/>
    <w:rsid w:val="00820B56"/>
    <w:rsid w:val="00820C80"/>
    <w:rsid w:val="00821299"/>
    <w:rsid w:val="008275B3"/>
    <w:rsid w:val="00841B7C"/>
    <w:rsid w:val="008444F8"/>
    <w:rsid w:val="00844C1B"/>
    <w:rsid w:val="0084772E"/>
    <w:rsid w:val="00851573"/>
    <w:rsid w:val="00851DCB"/>
    <w:rsid w:val="0085772D"/>
    <w:rsid w:val="00871377"/>
    <w:rsid w:val="00880325"/>
    <w:rsid w:val="0088116B"/>
    <w:rsid w:val="00882D87"/>
    <w:rsid w:val="008838DC"/>
    <w:rsid w:val="00887899"/>
    <w:rsid w:val="0089166A"/>
    <w:rsid w:val="008920A2"/>
    <w:rsid w:val="008A206D"/>
    <w:rsid w:val="008B145F"/>
    <w:rsid w:val="008C2E16"/>
    <w:rsid w:val="008C7271"/>
    <w:rsid w:val="008E3D5D"/>
    <w:rsid w:val="008F1013"/>
    <w:rsid w:val="008F3B1D"/>
    <w:rsid w:val="008F4755"/>
    <w:rsid w:val="008F7E5A"/>
    <w:rsid w:val="0090396E"/>
    <w:rsid w:val="00907A9F"/>
    <w:rsid w:val="009139D4"/>
    <w:rsid w:val="00916BA8"/>
    <w:rsid w:val="009210B6"/>
    <w:rsid w:val="009334EA"/>
    <w:rsid w:val="00936F10"/>
    <w:rsid w:val="00945D18"/>
    <w:rsid w:val="00956E1F"/>
    <w:rsid w:val="00963DA2"/>
    <w:rsid w:val="00970C28"/>
    <w:rsid w:val="009711D5"/>
    <w:rsid w:val="009759C3"/>
    <w:rsid w:val="00976CFF"/>
    <w:rsid w:val="00982878"/>
    <w:rsid w:val="0098431C"/>
    <w:rsid w:val="009844BA"/>
    <w:rsid w:val="009871A0"/>
    <w:rsid w:val="009A07FD"/>
    <w:rsid w:val="009A52C6"/>
    <w:rsid w:val="009A7C64"/>
    <w:rsid w:val="009B1605"/>
    <w:rsid w:val="009B7EC2"/>
    <w:rsid w:val="009C21C1"/>
    <w:rsid w:val="009C77F2"/>
    <w:rsid w:val="009D0007"/>
    <w:rsid w:val="009E1EAA"/>
    <w:rsid w:val="009E4527"/>
    <w:rsid w:val="009F0211"/>
    <w:rsid w:val="009F2B96"/>
    <w:rsid w:val="009F5CC8"/>
    <w:rsid w:val="00A0163F"/>
    <w:rsid w:val="00A07811"/>
    <w:rsid w:val="00A11CE6"/>
    <w:rsid w:val="00A20648"/>
    <w:rsid w:val="00A22884"/>
    <w:rsid w:val="00A270F6"/>
    <w:rsid w:val="00A273B0"/>
    <w:rsid w:val="00A31745"/>
    <w:rsid w:val="00A342A3"/>
    <w:rsid w:val="00A43B92"/>
    <w:rsid w:val="00A45E7E"/>
    <w:rsid w:val="00A5056D"/>
    <w:rsid w:val="00A514B0"/>
    <w:rsid w:val="00A51B03"/>
    <w:rsid w:val="00A52DA5"/>
    <w:rsid w:val="00A562B4"/>
    <w:rsid w:val="00A57A61"/>
    <w:rsid w:val="00A75741"/>
    <w:rsid w:val="00A82331"/>
    <w:rsid w:val="00A85377"/>
    <w:rsid w:val="00A907FE"/>
    <w:rsid w:val="00A90BAA"/>
    <w:rsid w:val="00A917E2"/>
    <w:rsid w:val="00A91BE0"/>
    <w:rsid w:val="00AA0A5F"/>
    <w:rsid w:val="00AB3920"/>
    <w:rsid w:val="00AB5C4D"/>
    <w:rsid w:val="00AC5542"/>
    <w:rsid w:val="00AD28B0"/>
    <w:rsid w:val="00AD3E40"/>
    <w:rsid w:val="00AE6B65"/>
    <w:rsid w:val="00AF76B6"/>
    <w:rsid w:val="00B11426"/>
    <w:rsid w:val="00B13410"/>
    <w:rsid w:val="00B21689"/>
    <w:rsid w:val="00B24AC4"/>
    <w:rsid w:val="00B3153D"/>
    <w:rsid w:val="00B44DA8"/>
    <w:rsid w:val="00B50817"/>
    <w:rsid w:val="00B52ACD"/>
    <w:rsid w:val="00B5572E"/>
    <w:rsid w:val="00B55BDB"/>
    <w:rsid w:val="00B56555"/>
    <w:rsid w:val="00B57855"/>
    <w:rsid w:val="00B60ED9"/>
    <w:rsid w:val="00B67097"/>
    <w:rsid w:val="00B720F5"/>
    <w:rsid w:val="00B81E88"/>
    <w:rsid w:val="00B8704C"/>
    <w:rsid w:val="00B87BA9"/>
    <w:rsid w:val="00B91589"/>
    <w:rsid w:val="00B9304C"/>
    <w:rsid w:val="00B9789D"/>
    <w:rsid w:val="00BB3C11"/>
    <w:rsid w:val="00BC1793"/>
    <w:rsid w:val="00BC24B6"/>
    <w:rsid w:val="00BC325B"/>
    <w:rsid w:val="00BC568C"/>
    <w:rsid w:val="00BC7CBA"/>
    <w:rsid w:val="00BD4A0E"/>
    <w:rsid w:val="00BD778B"/>
    <w:rsid w:val="00BF09D1"/>
    <w:rsid w:val="00BF10BF"/>
    <w:rsid w:val="00BF173E"/>
    <w:rsid w:val="00BF63B0"/>
    <w:rsid w:val="00BF7BDA"/>
    <w:rsid w:val="00C0322E"/>
    <w:rsid w:val="00C14D3B"/>
    <w:rsid w:val="00C1635D"/>
    <w:rsid w:val="00C212F7"/>
    <w:rsid w:val="00C263BA"/>
    <w:rsid w:val="00C553FC"/>
    <w:rsid w:val="00C72CF2"/>
    <w:rsid w:val="00C76196"/>
    <w:rsid w:val="00C82E3D"/>
    <w:rsid w:val="00C843F8"/>
    <w:rsid w:val="00C87FF5"/>
    <w:rsid w:val="00C95780"/>
    <w:rsid w:val="00C95844"/>
    <w:rsid w:val="00CA3F96"/>
    <w:rsid w:val="00CB355D"/>
    <w:rsid w:val="00CC1916"/>
    <w:rsid w:val="00CC2172"/>
    <w:rsid w:val="00CC2321"/>
    <w:rsid w:val="00CC2FE5"/>
    <w:rsid w:val="00CC5B36"/>
    <w:rsid w:val="00CC607D"/>
    <w:rsid w:val="00CD0277"/>
    <w:rsid w:val="00CE1965"/>
    <w:rsid w:val="00CE2276"/>
    <w:rsid w:val="00CE2BF2"/>
    <w:rsid w:val="00CE530B"/>
    <w:rsid w:val="00D021C4"/>
    <w:rsid w:val="00D02BA0"/>
    <w:rsid w:val="00D10CCC"/>
    <w:rsid w:val="00D12FAC"/>
    <w:rsid w:val="00D163F3"/>
    <w:rsid w:val="00D17338"/>
    <w:rsid w:val="00D215E2"/>
    <w:rsid w:val="00D24FBC"/>
    <w:rsid w:val="00D31078"/>
    <w:rsid w:val="00D334FE"/>
    <w:rsid w:val="00D42177"/>
    <w:rsid w:val="00D54BB0"/>
    <w:rsid w:val="00D57224"/>
    <w:rsid w:val="00D614B0"/>
    <w:rsid w:val="00D65FD2"/>
    <w:rsid w:val="00D71F18"/>
    <w:rsid w:val="00D75672"/>
    <w:rsid w:val="00D76137"/>
    <w:rsid w:val="00D82E6A"/>
    <w:rsid w:val="00D87441"/>
    <w:rsid w:val="00D917DD"/>
    <w:rsid w:val="00D940E5"/>
    <w:rsid w:val="00D976C2"/>
    <w:rsid w:val="00DA065A"/>
    <w:rsid w:val="00DA3278"/>
    <w:rsid w:val="00DA3495"/>
    <w:rsid w:val="00DC6600"/>
    <w:rsid w:val="00DD4C9D"/>
    <w:rsid w:val="00DD575B"/>
    <w:rsid w:val="00DE02DF"/>
    <w:rsid w:val="00DF07F4"/>
    <w:rsid w:val="00DF79D7"/>
    <w:rsid w:val="00E00B8F"/>
    <w:rsid w:val="00E04371"/>
    <w:rsid w:val="00E10A73"/>
    <w:rsid w:val="00E152EE"/>
    <w:rsid w:val="00E1698B"/>
    <w:rsid w:val="00E2361B"/>
    <w:rsid w:val="00E34E4D"/>
    <w:rsid w:val="00E43AC9"/>
    <w:rsid w:val="00E5002D"/>
    <w:rsid w:val="00E5499A"/>
    <w:rsid w:val="00E55000"/>
    <w:rsid w:val="00E610A4"/>
    <w:rsid w:val="00E65782"/>
    <w:rsid w:val="00E66424"/>
    <w:rsid w:val="00E67D02"/>
    <w:rsid w:val="00E7339E"/>
    <w:rsid w:val="00E9234B"/>
    <w:rsid w:val="00E944B4"/>
    <w:rsid w:val="00EA46FF"/>
    <w:rsid w:val="00EB30F9"/>
    <w:rsid w:val="00EB3359"/>
    <w:rsid w:val="00EB3EA6"/>
    <w:rsid w:val="00EC09A7"/>
    <w:rsid w:val="00EC3386"/>
    <w:rsid w:val="00EC3687"/>
    <w:rsid w:val="00EC6AA3"/>
    <w:rsid w:val="00EC6B07"/>
    <w:rsid w:val="00ED08D1"/>
    <w:rsid w:val="00ED0A91"/>
    <w:rsid w:val="00ED258D"/>
    <w:rsid w:val="00EE0879"/>
    <w:rsid w:val="00EE1C09"/>
    <w:rsid w:val="00EF0C4B"/>
    <w:rsid w:val="00EF1EBA"/>
    <w:rsid w:val="00EF23BC"/>
    <w:rsid w:val="00EF34DF"/>
    <w:rsid w:val="00EF467B"/>
    <w:rsid w:val="00EF653E"/>
    <w:rsid w:val="00EF7AC5"/>
    <w:rsid w:val="00F0118F"/>
    <w:rsid w:val="00F05741"/>
    <w:rsid w:val="00F07EA7"/>
    <w:rsid w:val="00F103FF"/>
    <w:rsid w:val="00F1178F"/>
    <w:rsid w:val="00F11AA7"/>
    <w:rsid w:val="00F13072"/>
    <w:rsid w:val="00F16855"/>
    <w:rsid w:val="00F168CD"/>
    <w:rsid w:val="00F2177B"/>
    <w:rsid w:val="00F221AC"/>
    <w:rsid w:val="00F31CC9"/>
    <w:rsid w:val="00F3267A"/>
    <w:rsid w:val="00F332D9"/>
    <w:rsid w:val="00F33CFB"/>
    <w:rsid w:val="00F36CA5"/>
    <w:rsid w:val="00F42FF7"/>
    <w:rsid w:val="00F45290"/>
    <w:rsid w:val="00F46EEF"/>
    <w:rsid w:val="00F60090"/>
    <w:rsid w:val="00F633C9"/>
    <w:rsid w:val="00F65340"/>
    <w:rsid w:val="00F659E7"/>
    <w:rsid w:val="00F673B0"/>
    <w:rsid w:val="00F76ABE"/>
    <w:rsid w:val="00F818BD"/>
    <w:rsid w:val="00F8194A"/>
    <w:rsid w:val="00F8551B"/>
    <w:rsid w:val="00F86218"/>
    <w:rsid w:val="00F907EF"/>
    <w:rsid w:val="00F907FF"/>
    <w:rsid w:val="00F92F2B"/>
    <w:rsid w:val="00F9665F"/>
    <w:rsid w:val="00FA0A9D"/>
    <w:rsid w:val="00FA2525"/>
    <w:rsid w:val="00FA25A7"/>
    <w:rsid w:val="00FA4D9D"/>
    <w:rsid w:val="00FB5D4E"/>
    <w:rsid w:val="00FB7003"/>
    <w:rsid w:val="00FC17B3"/>
    <w:rsid w:val="00FC53EC"/>
    <w:rsid w:val="00FD336B"/>
    <w:rsid w:val="00FD64F8"/>
    <w:rsid w:val="00FE4FEE"/>
    <w:rsid w:val="00FF2536"/>
    <w:rsid w:val="00FF284E"/>
    <w:rsid w:val="00FF3650"/>
    <w:rsid w:val="00FF3B2F"/>
    <w:rsid w:val="00FF48E9"/>
    <w:rsid w:val="00FF7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uiPriority w:val="9"/>
    <w:qFormat/>
    <w:rsid w:val="003C17A8"/>
    <w:pPr>
      <w:numPr>
        <w:numId w:val="10"/>
      </w:numPr>
      <w:spacing w:before="100" w:beforeAutospacing="1" w:after="100" w:afterAutospacing="1" w:line="240" w:lineRule="auto"/>
      <w:outlineLvl w:val="0"/>
    </w:pPr>
    <w:rPr>
      <w:rFonts w:eastAsia="Times New Roman" w:cs="Times New Roman"/>
      <w:b/>
      <w:bCs/>
      <w:kern w:val="36"/>
      <w:szCs w:val="48"/>
      <w:lang w:val="en-GB" w:eastAsia="en-GB"/>
    </w:rPr>
  </w:style>
  <w:style w:type="paragraph" w:styleId="Heading2">
    <w:name w:val="heading 2"/>
    <w:aliases w:val="Heading 2_chapters"/>
    <w:basedOn w:val="Heading1"/>
    <w:next w:val="Normal"/>
    <w:link w:val="Heading2Char"/>
    <w:uiPriority w:val="9"/>
    <w:unhideWhenUsed/>
    <w:qFormat/>
    <w:rsid w:val="003C17A8"/>
    <w:pPr>
      <w:keepNext/>
      <w:keepLines/>
      <w:numPr>
        <w:ilvl w:val="1"/>
      </w:numPr>
      <w:tabs>
        <w:tab w:val="left" w:pos="567"/>
      </w:tabs>
      <w:outlineLvl w:val="1"/>
    </w:pPr>
    <w:rPr>
      <w:rFonts w:eastAsiaTheme="majorEastAsia" w:cs="Arial"/>
      <w:szCs w:val="20"/>
    </w:rPr>
  </w:style>
  <w:style w:type="paragraph" w:styleId="Heading3">
    <w:name w:val="heading 3"/>
    <w:basedOn w:val="Heading2"/>
    <w:next w:val="Normal"/>
    <w:link w:val="Heading3Char"/>
    <w:uiPriority w:val="9"/>
    <w:unhideWhenUsed/>
    <w:qFormat/>
    <w:rsid w:val="003C17A8"/>
    <w:pPr>
      <w:numPr>
        <w:ilvl w:val="2"/>
      </w:numPr>
      <w:outlineLvl w:val="2"/>
    </w:pPr>
    <w:rPr>
      <w:rFonts w:cstheme="majorBidi"/>
      <w:bCs w:val="0"/>
    </w:rPr>
  </w:style>
  <w:style w:type="paragraph" w:styleId="Heading4">
    <w:name w:val="heading 4"/>
    <w:basedOn w:val="Heading3"/>
    <w:next w:val="Normal"/>
    <w:link w:val="Heading4Char"/>
    <w:uiPriority w:val="9"/>
    <w:unhideWhenUsed/>
    <w:qFormat/>
    <w:rsid w:val="003C17A8"/>
    <w:pPr>
      <w:numPr>
        <w:ilvl w:val="3"/>
      </w:numPr>
      <w:outlineLvl w:val="3"/>
    </w:pPr>
    <w:rPr>
      <w:bCs/>
      <w:iCs/>
    </w:rPr>
  </w:style>
  <w:style w:type="paragraph" w:styleId="Heading5">
    <w:name w:val="heading 5"/>
    <w:basedOn w:val="Heading4"/>
    <w:next w:val="Normal"/>
    <w:link w:val="Heading5Char"/>
    <w:unhideWhenUsed/>
    <w:qFormat/>
    <w:rsid w:val="003C17A8"/>
    <w:pPr>
      <w:numPr>
        <w:ilvl w:val="4"/>
      </w:numPr>
      <w:outlineLvl w:val="4"/>
    </w:pPr>
  </w:style>
  <w:style w:type="paragraph" w:styleId="Heading6">
    <w:name w:val="heading 6"/>
    <w:basedOn w:val="Heading5"/>
    <w:next w:val="Normal"/>
    <w:link w:val="Heading6Char"/>
    <w:uiPriority w:val="9"/>
    <w:unhideWhenUsed/>
    <w:qFormat/>
    <w:rsid w:val="003C17A8"/>
    <w:pPr>
      <w:numPr>
        <w:ilvl w:val="5"/>
      </w:numPr>
      <w:outlineLvl w:val="5"/>
    </w:pPr>
    <w:rPr>
      <w:iCs w:val="0"/>
    </w:rPr>
  </w:style>
  <w:style w:type="paragraph" w:styleId="Heading7">
    <w:name w:val="heading 7"/>
    <w:basedOn w:val="Heading6"/>
    <w:next w:val="Normal"/>
    <w:link w:val="Heading7Char"/>
    <w:uiPriority w:val="9"/>
    <w:unhideWhenUsed/>
    <w:qFormat/>
    <w:rsid w:val="003C17A8"/>
    <w:pPr>
      <w:numPr>
        <w:ilvl w:val="6"/>
      </w:numPr>
      <w:outlineLvl w:val="6"/>
    </w:pPr>
    <w:rPr>
      <w:b w:val="0"/>
      <w:iCs/>
    </w:rPr>
  </w:style>
  <w:style w:type="paragraph" w:styleId="Heading8">
    <w:name w:val="heading 8"/>
    <w:basedOn w:val="Heading7"/>
    <w:next w:val="Normal"/>
    <w:link w:val="Heading8Char"/>
    <w:uiPriority w:val="9"/>
    <w:unhideWhenUsed/>
    <w:qFormat/>
    <w:rsid w:val="003C17A8"/>
    <w:pPr>
      <w:numPr>
        <w:ilvl w:val="7"/>
      </w:numPr>
      <w:outlineLvl w:val="7"/>
    </w:pPr>
    <w:rPr>
      <w:rFonts w:cs="Verdana"/>
    </w:rPr>
  </w:style>
  <w:style w:type="paragraph" w:styleId="Heading9">
    <w:name w:val="heading 9"/>
    <w:basedOn w:val="Heading8"/>
    <w:next w:val="Normal"/>
    <w:link w:val="Heading9Char"/>
    <w:uiPriority w:val="9"/>
    <w:unhideWhenUsed/>
    <w:qFormat/>
    <w:rsid w:val="003C17A8"/>
    <w:pPr>
      <w:numPr>
        <w:ilvl w:val="8"/>
      </w:numPr>
      <w:outlineLvl w:val="8"/>
    </w:pPr>
    <w:rPr>
      <w:rFonts w:cstheme="majorBidi"/>
      <w:b/>
      <w:iCs w:val="0"/>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_chapters Char"/>
    <w:basedOn w:val="DefaultParagraphFont"/>
    <w:link w:val="Heading2"/>
    <w:uiPriority w:val="9"/>
    <w:rsid w:val="003C17A8"/>
    <w:rPr>
      <w:rFonts w:eastAsiaTheme="majorEastAsia" w:cs="Arial"/>
      <w:b/>
      <w:bCs/>
      <w:kern w:val="36"/>
      <w:szCs w:val="20"/>
      <w:lang w:val="en-GB" w:eastAsia="en-GB"/>
    </w:rPr>
  </w:style>
  <w:style w:type="character" w:customStyle="1" w:styleId="Heading3Char">
    <w:name w:val="Heading 3 Char"/>
    <w:basedOn w:val="DefaultParagraphFont"/>
    <w:link w:val="Heading3"/>
    <w:uiPriority w:val="9"/>
    <w:rsid w:val="003C17A8"/>
    <w:rPr>
      <w:rFonts w:eastAsiaTheme="majorEastAsia" w:cstheme="majorBidi"/>
      <w:b/>
      <w:kern w:val="36"/>
      <w:szCs w:val="20"/>
      <w:lang w:val="en-GB" w:eastAsia="en-GB"/>
    </w:rPr>
  </w:style>
  <w:style w:type="character" w:customStyle="1" w:styleId="Heading4Char">
    <w:name w:val="Heading 4 Char"/>
    <w:basedOn w:val="DefaultParagraphFont"/>
    <w:link w:val="Heading4"/>
    <w:uiPriority w:val="9"/>
    <w:rsid w:val="003C17A8"/>
    <w:rPr>
      <w:rFonts w:eastAsiaTheme="majorEastAsia" w:cstheme="majorBidi"/>
      <w:b/>
      <w:bCs/>
      <w:iCs/>
      <w:kern w:val="36"/>
      <w:szCs w:val="20"/>
      <w:lang w:val="en-GB" w:eastAsia="en-GB"/>
    </w:rPr>
  </w:style>
  <w:style w:type="character" w:customStyle="1" w:styleId="Heading1Char">
    <w:name w:val="Heading 1 Char"/>
    <w:basedOn w:val="DefaultParagraphFont"/>
    <w:link w:val="Heading1"/>
    <w:uiPriority w:val="9"/>
    <w:rsid w:val="003C17A8"/>
    <w:rPr>
      <w:rFonts w:eastAsia="Times New Roman" w:cs="Times New Roman"/>
      <w:b/>
      <w:bCs/>
      <w:kern w:val="36"/>
      <w:szCs w:val="48"/>
      <w:lang w:val="en-GB" w:eastAsia="en-GB"/>
    </w:rPr>
  </w:style>
  <w:style w:type="character" w:customStyle="1" w:styleId="Heading5Char">
    <w:name w:val="Heading 5 Char"/>
    <w:basedOn w:val="DefaultParagraphFont"/>
    <w:link w:val="Heading5"/>
    <w:rsid w:val="003C17A8"/>
    <w:rPr>
      <w:rFonts w:eastAsiaTheme="majorEastAsia" w:cstheme="majorBidi"/>
      <w:b/>
      <w:bCs/>
      <w:iCs/>
      <w:kern w:val="36"/>
      <w:szCs w:val="20"/>
      <w:lang w:val="en-GB" w:eastAsia="en-GB"/>
    </w:rPr>
  </w:style>
  <w:style w:type="character" w:customStyle="1" w:styleId="Heading6Char">
    <w:name w:val="Heading 6 Char"/>
    <w:basedOn w:val="DefaultParagraphFont"/>
    <w:link w:val="Heading6"/>
    <w:uiPriority w:val="9"/>
    <w:rsid w:val="003C17A8"/>
    <w:rPr>
      <w:rFonts w:eastAsiaTheme="majorEastAsia" w:cstheme="majorBidi"/>
      <w:b/>
      <w:bCs/>
      <w:kern w:val="36"/>
      <w:szCs w:val="20"/>
      <w:lang w:val="en-GB" w:eastAsia="en-GB"/>
    </w:rPr>
  </w:style>
  <w:style w:type="character" w:customStyle="1" w:styleId="Heading7Char">
    <w:name w:val="Heading 7 Char"/>
    <w:basedOn w:val="DefaultParagraphFont"/>
    <w:link w:val="Heading7"/>
    <w:uiPriority w:val="9"/>
    <w:rsid w:val="003C17A8"/>
    <w:rPr>
      <w:rFonts w:eastAsiaTheme="majorEastAsia" w:cstheme="majorBidi"/>
      <w:bCs/>
      <w:iCs/>
      <w:kern w:val="36"/>
      <w:szCs w:val="20"/>
      <w:lang w:val="en-GB" w:eastAsia="en-GB"/>
    </w:rPr>
  </w:style>
  <w:style w:type="character" w:customStyle="1" w:styleId="Heading8Char">
    <w:name w:val="Heading 8 Char"/>
    <w:basedOn w:val="DefaultParagraphFont"/>
    <w:link w:val="Heading8"/>
    <w:uiPriority w:val="9"/>
    <w:rsid w:val="003C17A8"/>
    <w:rPr>
      <w:rFonts w:eastAsiaTheme="majorEastAsia" w:cs="Verdana"/>
      <w:bCs/>
      <w:iCs/>
      <w:kern w:val="36"/>
      <w:szCs w:val="20"/>
      <w:lang w:val="en-GB" w:eastAsia="en-GB"/>
    </w:rPr>
  </w:style>
  <w:style w:type="character" w:customStyle="1" w:styleId="Heading9Char">
    <w:name w:val="Heading 9 Char"/>
    <w:basedOn w:val="DefaultParagraphFont"/>
    <w:link w:val="Heading9"/>
    <w:uiPriority w:val="9"/>
    <w:rsid w:val="003C17A8"/>
    <w:rPr>
      <w:rFonts w:eastAsiaTheme="majorEastAsia" w:cstheme="majorBidi"/>
      <w:b/>
      <w:bCs/>
      <w:color w:val="404040" w:themeColor="text1" w:themeTint="BF"/>
      <w:kern w:val="36"/>
      <w:szCs w:val="20"/>
      <w:lang w:val="en-GB" w:eastAsia="en-GB"/>
    </w:rPr>
  </w:style>
  <w:style w:type="paragraph" w:styleId="FootnoteText">
    <w:name w:val="footnote text"/>
    <w:basedOn w:val="Normal"/>
    <w:link w:val="FootnoteTextChar"/>
    <w:uiPriority w:val="99"/>
    <w:semiHidden/>
    <w:unhideWhenUsed/>
    <w:rsid w:val="007941A4"/>
    <w:pPr>
      <w:spacing w:after="0" w:line="240" w:lineRule="auto"/>
    </w:pPr>
    <w:rPr>
      <w:sz w:val="20"/>
      <w:szCs w:val="20"/>
      <w:lang w:val="en-GB" w:eastAsia="en-GB"/>
    </w:rPr>
  </w:style>
  <w:style w:type="character" w:customStyle="1" w:styleId="FootnoteTextChar">
    <w:name w:val="Footnote Text Char"/>
    <w:basedOn w:val="DefaultParagraphFont"/>
    <w:link w:val="FootnoteText"/>
    <w:uiPriority w:val="99"/>
    <w:semiHidden/>
    <w:rsid w:val="007941A4"/>
    <w:rPr>
      <w:rFonts w:eastAsiaTheme="minorEastAsia"/>
      <w:sz w:val="20"/>
      <w:szCs w:val="20"/>
      <w:lang w:val="en-GB" w:eastAsia="en-GB"/>
    </w:rPr>
  </w:style>
  <w:style w:type="character" w:styleId="FootnoteReference">
    <w:name w:val="footnote reference"/>
    <w:basedOn w:val="DefaultParagraphFont"/>
    <w:uiPriority w:val="99"/>
    <w:unhideWhenUsed/>
    <w:rsid w:val="007941A4"/>
    <w:rPr>
      <w:vertAlign w:val="superscript"/>
    </w:rPr>
  </w:style>
  <w:style w:type="character" w:styleId="Strong">
    <w:name w:val="Strong"/>
    <w:basedOn w:val="DefaultParagraphFont"/>
    <w:uiPriority w:val="22"/>
    <w:qFormat/>
    <w:rsid w:val="007941A4"/>
    <w:rPr>
      <w:b/>
      <w:bCs/>
    </w:rPr>
  </w:style>
  <w:style w:type="paragraph" w:styleId="ListParagraph">
    <w:name w:val="List Paragraph"/>
    <w:basedOn w:val="Normal"/>
    <w:uiPriority w:val="34"/>
    <w:qFormat/>
    <w:rsid w:val="002D6F1C"/>
    <w:pPr>
      <w:ind w:left="720"/>
      <w:contextualSpacing/>
    </w:pPr>
  </w:style>
  <w:style w:type="paragraph" w:styleId="Header">
    <w:name w:val="header"/>
    <w:basedOn w:val="Normal"/>
    <w:link w:val="HeaderChar"/>
    <w:uiPriority w:val="99"/>
    <w:semiHidden/>
    <w:unhideWhenUsed/>
    <w:rsid w:val="00B13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410"/>
  </w:style>
  <w:style w:type="paragraph" w:styleId="Footer">
    <w:name w:val="footer"/>
    <w:basedOn w:val="Normal"/>
    <w:link w:val="FooterChar"/>
    <w:uiPriority w:val="99"/>
    <w:unhideWhenUsed/>
    <w:rsid w:val="00B1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410"/>
  </w:style>
  <w:style w:type="character" w:styleId="Hyperlink">
    <w:name w:val="Hyperlink"/>
    <w:basedOn w:val="DefaultParagraphFont"/>
    <w:uiPriority w:val="99"/>
    <w:unhideWhenUsed/>
    <w:rsid w:val="00E04371"/>
    <w:rPr>
      <w:color w:val="0000FF" w:themeColor="hyperlink"/>
      <w:u w:val="single"/>
    </w:rPr>
  </w:style>
  <w:style w:type="character" w:customStyle="1" w:styleId="hd">
    <w:name w:val="hd"/>
    <w:basedOn w:val="DefaultParagraphFont"/>
    <w:rsid w:val="008444F8"/>
  </w:style>
  <w:style w:type="character" w:customStyle="1" w:styleId="normaltext1">
    <w:name w:val="normaltext1"/>
    <w:basedOn w:val="DefaultParagraphFont"/>
    <w:rsid w:val="008444F8"/>
    <w:rPr>
      <w:rFonts w:ascii="Verdana" w:hAnsi="Verdana" w:hint="default"/>
      <w:b w:val="0"/>
      <w:bCs w:val="0"/>
      <w:strike w:val="0"/>
      <w:dstrike w:val="0"/>
      <w:color w:val="D8EDFC"/>
      <w:sz w:val="15"/>
      <w:szCs w:val="15"/>
      <w:u w:val="none"/>
      <w:effect w:val="none"/>
    </w:rPr>
  </w:style>
  <w:style w:type="paragraph" w:styleId="BalloonText">
    <w:name w:val="Balloon Text"/>
    <w:basedOn w:val="Normal"/>
    <w:link w:val="BalloonTextChar"/>
    <w:uiPriority w:val="99"/>
    <w:semiHidden/>
    <w:unhideWhenUsed/>
    <w:rsid w:val="0027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F0"/>
    <w:rPr>
      <w:rFonts w:ascii="Tahoma" w:hAnsi="Tahoma" w:cs="Tahoma"/>
      <w:sz w:val="16"/>
      <w:szCs w:val="16"/>
    </w:rPr>
  </w:style>
  <w:style w:type="paragraph" w:customStyle="1" w:styleId="Default">
    <w:name w:val="Default"/>
    <w:rsid w:val="0000172C"/>
    <w:pPr>
      <w:autoSpaceDE w:val="0"/>
      <w:autoSpaceDN w:val="0"/>
      <w:adjustRightInd w:val="0"/>
      <w:spacing w:after="0" w:line="240" w:lineRule="auto"/>
    </w:pPr>
    <w:rPr>
      <w:rFonts w:ascii="Verdana" w:hAnsi="Verdana" w:cs="Verdana"/>
      <w:color w:val="000000"/>
      <w:sz w:val="24"/>
      <w:szCs w:val="24"/>
      <w:lang w:val="en-GB" w:eastAsia="en-GB"/>
    </w:rPr>
  </w:style>
  <w:style w:type="table" w:customStyle="1" w:styleId="LightList1">
    <w:name w:val="Light List1"/>
    <w:basedOn w:val="TableNormal"/>
    <w:uiPriority w:val="61"/>
    <w:rsid w:val="008A206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945D18"/>
    <w:pPr>
      <w:spacing w:line="240" w:lineRule="auto"/>
    </w:pPr>
    <w:rPr>
      <w:b/>
      <w:bCs/>
      <w:color w:val="4F81BD" w:themeColor="accent1"/>
      <w:sz w:val="18"/>
      <w:szCs w:val="18"/>
    </w:rPr>
  </w:style>
  <w:style w:type="paragraph" w:styleId="TOC2">
    <w:name w:val="toc 2"/>
    <w:basedOn w:val="Normal"/>
    <w:next w:val="Normal"/>
    <w:autoRedefine/>
    <w:uiPriority w:val="39"/>
    <w:unhideWhenUsed/>
    <w:rsid w:val="00E944B4"/>
    <w:pPr>
      <w:spacing w:after="100"/>
      <w:ind w:left="220"/>
    </w:pPr>
  </w:style>
  <w:style w:type="paragraph" w:styleId="TableofFigures">
    <w:name w:val="table of figures"/>
    <w:basedOn w:val="Normal"/>
    <w:next w:val="Normal"/>
    <w:uiPriority w:val="99"/>
    <w:unhideWhenUsed/>
    <w:rsid w:val="00E944B4"/>
    <w:pPr>
      <w:spacing w:after="0"/>
    </w:pPr>
  </w:style>
  <w:style w:type="character" w:styleId="CommentReference">
    <w:name w:val="annotation reference"/>
    <w:basedOn w:val="DefaultParagraphFont"/>
    <w:uiPriority w:val="99"/>
    <w:semiHidden/>
    <w:unhideWhenUsed/>
    <w:rsid w:val="00FC53EC"/>
    <w:rPr>
      <w:sz w:val="16"/>
      <w:szCs w:val="16"/>
    </w:rPr>
  </w:style>
  <w:style w:type="paragraph" w:styleId="CommentText">
    <w:name w:val="annotation text"/>
    <w:basedOn w:val="Normal"/>
    <w:link w:val="CommentTextChar"/>
    <w:uiPriority w:val="99"/>
    <w:semiHidden/>
    <w:unhideWhenUsed/>
    <w:rsid w:val="00FC53EC"/>
    <w:pPr>
      <w:spacing w:line="240" w:lineRule="auto"/>
    </w:pPr>
    <w:rPr>
      <w:sz w:val="20"/>
      <w:szCs w:val="20"/>
    </w:rPr>
  </w:style>
  <w:style w:type="character" w:customStyle="1" w:styleId="CommentTextChar">
    <w:name w:val="Comment Text Char"/>
    <w:basedOn w:val="DefaultParagraphFont"/>
    <w:link w:val="CommentText"/>
    <w:uiPriority w:val="99"/>
    <w:semiHidden/>
    <w:rsid w:val="00FC53EC"/>
    <w:rPr>
      <w:sz w:val="20"/>
      <w:szCs w:val="20"/>
    </w:rPr>
  </w:style>
  <w:style w:type="paragraph" w:styleId="CommentSubject">
    <w:name w:val="annotation subject"/>
    <w:basedOn w:val="CommentText"/>
    <w:next w:val="CommentText"/>
    <w:link w:val="CommentSubjectChar"/>
    <w:uiPriority w:val="99"/>
    <w:semiHidden/>
    <w:unhideWhenUsed/>
    <w:rsid w:val="00FC53EC"/>
    <w:rPr>
      <w:b/>
      <w:bCs/>
    </w:rPr>
  </w:style>
  <w:style w:type="character" w:customStyle="1" w:styleId="CommentSubjectChar">
    <w:name w:val="Comment Subject Char"/>
    <w:basedOn w:val="CommentTextChar"/>
    <w:link w:val="CommentSubject"/>
    <w:uiPriority w:val="99"/>
    <w:semiHidden/>
    <w:rsid w:val="00FC53EC"/>
    <w:rPr>
      <w:b/>
      <w:bCs/>
      <w:sz w:val="20"/>
      <w:szCs w:val="20"/>
    </w:rPr>
  </w:style>
  <w:style w:type="character" w:customStyle="1" w:styleId="st1">
    <w:name w:val="st1"/>
    <w:basedOn w:val="DefaultParagraphFont"/>
    <w:rsid w:val="00B11426"/>
  </w:style>
  <w:style w:type="character" w:styleId="FollowedHyperlink">
    <w:name w:val="FollowedHyperlink"/>
    <w:basedOn w:val="DefaultParagraphFont"/>
    <w:uiPriority w:val="99"/>
    <w:semiHidden/>
    <w:unhideWhenUsed/>
    <w:rsid w:val="00E67D02"/>
    <w:rPr>
      <w:color w:val="800080" w:themeColor="followedHyperlink"/>
      <w:u w:val="single"/>
    </w:rPr>
  </w:style>
  <w:style w:type="paragraph" w:styleId="NormalWeb">
    <w:name w:val="Normal (Web)"/>
    <w:basedOn w:val="Normal"/>
    <w:uiPriority w:val="99"/>
    <w:unhideWhenUsed/>
    <w:rsid w:val="00E67D02"/>
    <w:pPr>
      <w:spacing w:after="100" w:afterAutospacing="1" w:line="360" w:lineRule="atLeast"/>
    </w:pPr>
    <w:rPr>
      <w:rFonts w:ascii="Verdana" w:eastAsia="Times New Roman" w:hAnsi="Verdana" w:cs="Times New Roman"/>
      <w:color w:val="444444"/>
      <w:sz w:val="18"/>
      <w:szCs w:val="18"/>
    </w:rPr>
  </w:style>
  <w:style w:type="character" w:styleId="Emphasis">
    <w:name w:val="Emphasis"/>
    <w:basedOn w:val="DefaultParagraphFont"/>
    <w:uiPriority w:val="20"/>
    <w:qFormat/>
    <w:rsid w:val="00E67D02"/>
    <w:rPr>
      <w:i/>
      <w:iCs/>
    </w:rPr>
  </w:style>
  <w:style w:type="table" w:styleId="TableGrid">
    <w:name w:val="Table Grid"/>
    <w:basedOn w:val="TableNormal"/>
    <w:uiPriority w:val="59"/>
    <w:rsid w:val="00F33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uiPriority w:val="9"/>
    <w:qFormat/>
    <w:rsid w:val="003C17A8"/>
    <w:pPr>
      <w:numPr>
        <w:numId w:val="10"/>
      </w:numPr>
      <w:spacing w:before="100" w:beforeAutospacing="1" w:after="100" w:afterAutospacing="1" w:line="240" w:lineRule="auto"/>
      <w:outlineLvl w:val="0"/>
    </w:pPr>
    <w:rPr>
      <w:rFonts w:eastAsia="Times New Roman" w:cs="Times New Roman"/>
      <w:b/>
      <w:bCs/>
      <w:kern w:val="36"/>
      <w:szCs w:val="48"/>
      <w:lang w:val="en-GB" w:eastAsia="en-GB"/>
    </w:rPr>
  </w:style>
  <w:style w:type="paragraph" w:styleId="Heading2">
    <w:name w:val="heading 2"/>
    <w:aliases w:val="Heading 2_chapters"/>
    <w:basedOn w:val="Heading1"/>
    <w:next w:val="Normal"/>
    <w:link w:val="Heading2Char"/>
    <w:uiPriority w:val="9"/>
    <w:unhideWhenUsed/>
    <w:qFormat/>
    <w:rsid w:val="003C17A8"/>
    <w:pPr>
      <w:keepNext/>
      <w:keepLines/>
      <w:numPr>
        <w:ilvl w:val="1"/>
      </w:numPr>
      <w:tabs>
        <w:tab w:val="left" w:pos="567"/>
      </w:tabs>
      <w:outlineLvl w:val="1"/>
    </w:pPr>
    <w:rPr>
      <w:rFonts w:eastAsiaTheme="majorEastAsia" w:cs="Arial"/>
      <w:szCs w:val="20"/>
    </w:rPr>
  </w:style>
  <w:style w:type="paragraph" w:styleId="Heading3">
    <w:name w:val="heading 3"/>
    <w:basedOn w:val="Heading2"/>
    <w:next w:val="Normal"/>
    <w:link w:val="Heading3Char"/>
    <w:uiPriority w:val="9"/>
    <w:unhideWhenUsed/>
    <w:qFormat/>
    <w:rsid w:val="003C17A8"/>
    <w:pPr>
      <w:numPr>
        <w:ilvl w:val="2"/>
      </w:numPr>
      <w:outlineLvl w:val="2"/>
    </w:pPr>
    <w:rPr>
      <w:rFonts w:cstheme="majorBidi"/>
      <w:bCs w:val="0"/>
    </w:rPr>
  </w:style>
  <w:style w:type="paragraph" w:styleId="Heading4">
    <w:name w:val="heading 4"/>
    <w:basedOn w:val="Heading3"/>
    <w:next w:val="Normal"/>
    <w:link w:val="Heading4Char"/>
    <w:uiPriority w:val="9"/>
    <w:unhideWhenUsed/>
    <w:qFormat/>
    <w:rsid w:val="003C17A8"/>
    <w:pPr>
      <w:numPr>
        <w:ilvl w:val="3"/>
      </w:numPr>
      <w:outlineLvl w:val="3"/>
    </w:pPr>
    <w:rPr>
      <w:bCs/>
      <w:iCs/>
    </w:rPr>
  </w:style>
  <w:style w:type="paragraph" w:styleId="Heading5">
    <w:name w:val="heading 5"/>
    <w:basedOn w:val="Heading4"/>
    <w:next w:val="Normal"/>
    <w:link w:val="Heading5Char"/>
    <w:unhideWhenUsed/>
    <w:qFormat/>
    <w:rsid w:val="003C17A8"/>
    <w:pPr>
      <w:numPr>
        <w:ilvl w:val="4"/>
      </w:numPr>
      <w:outlineLvl w:val="4"/>
    </w:pPr>
  </w:style>
  <w:style w:type="paragraph" w:styleId="Heading6">
    <w:name w:val="heading 6"/>
    <w:basedOn w:val="Heading5"/>
    <w:next w:val="Normal"/>
    <w:link w:val="Heading6Char"/>
    <w:uiPriority w:val="9"/>
    <w:unhideWhenUsed/>
    <w:qFormat/>
    <w:rsid w:val="003C17A8"/>
    <w:pPr>
      <w:numPr>
        <w:ilvl w:val="5"/>
      </w:numPr>
      <w:outlineLvl w:val="5"/>
    </w:pPr>
    <w:rPr>
      <w:iCs w:val="0"/>
    </w:rPr>
  </w:style>
  <w:style w:type="paragraph" w:styleId="Heading7">
    <w:name w:val="heading 7"/>
    <w:basedOn w:val="Heading6"/>
    <w:next w:val="Normal"/>
    <w:link w:val="Heading7Char"/>
    <w:uiPriority w:val="9"/>
    <w:unhideWhenUsed/>
    <w:qFormat/>
    <w:rsid w:val="003C17A8"/>
    <w:pPr>
      <w:numPr>
        <w:ilvl w:val="6"/>
      </w:numPr>
      <w:outlineLvl w:val="6"/>
    </w:pPr>
    <w:rPr>
      <w:b w:val="0"/>
      <w:iCs/>
    </w:rPr>
  </w:style>
  <w:style w:type="paragraph" w:styleId="Heading8">
    <w:name w:val="heading 8"/>
    <w:basedOn w:val="Heading7"/>
    <w:next w:val="Normal"/>
    <w:link w:val="Heading8Char"/>
    <w:uiPriority w:val="9"/>
    <w:unhideWhenUsed/>
    <w:qFormat/>
    <w:rsid w:val="003C17A8"/>
    <w:pPr>
      <w:numPr>
        <w:ilvl w:val="7"/>
      </w:numPr>
      <w:outlineLvl w:val="7"/>
    </w:pPr>
    <w:rPr>
      <w:rFonts w:cs="Verdana"/>
    </w:rPr>
  </w:style>
  <w:style w:type="paragraph" w:styleId="Heading9">
    <w:name w:val="heading 9"/>
    <w:basedOn w:val="Heading8"/>
    <w:next w:val="Normal"/>
    <w:link w:val="Heading9Char"/>
    <w:uiPriority w:val="9"/>
    <w:unhideWhenUsed/>
    <w:qFormat/>
    <w:rsid w:val="003C17A8"/>
    <w:pPr>
      <w:numPr>
        <w:ilvl w:val="8"/>
      </w:numPr>
      <w:outlineLvl w:val="8"/>
    </w:pPr>
    <w:rPr>
      <w:rFonts w:cstheme="majorBidi"/>
      <w:b/>
      <w:iCs w:val="0"/>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_chapters Char"/>
    <w:basedOn w:val="DefaultParagraphFont"/>
    <w:link w:val="Heading2"/>
    <w:uiPriority w:val="9"/>
    <w:rsid w:val="003C17A8"/>
    <w:rPr>
      <w:rFonts w:eastAsiaTheme="majorEastAsia" w:cs="Arial"/>
      <w:b/>
      <w:bCs/>
      <w:kern w:val="36"/>
      <w:szCs w:val="20"/>
      <w:lang w:val="en-GB" w:eastAsia="en-GB"/>
    </w:rPr>
  </w:style>
  <w:style w:type="character" w:customStyle="1" w:styleId="Heading3Char">
    <w:name w:val="Heading 3 Char"/>
    <w:basedOn w:val="DefaultParagraphFont"/>
    <w:link w:val="Heading3"/>
    <w:uiPriority w:val="9"/>
    <w:rsid w:val="003C17A8"/>
    <w:rPr>
      <w:rFonts w:eastAsiaTheme="majorEastAsia" w:cstheme="majorBidi"/>
      <w:b/>
      <w:kern w:val="36"/>
      <w:szCs w:val="20"/>
      <w:lang w:val="en-GB" w:eastAsia="en-GB"/>
    </w:rPr>
  </w:style>
  <w:style w:type="character" w:customStyle="1" w:styleId="Heading4Char">
    <w:name w:val="Heading 4 Char"/>
    <w:basedOn w:val="DefaultParagraphFont"/>
    <w:link w:val="Heading4"/>
    <w:uiPriority w:val="9"/>
    <w:rsid w:val="003C17A8"/>
    <w:rPr>
      <w:rFonts w:eastAsiaTheme="majorEastAsia" w:cstheme="majorBidi"/>
      <w:b/>
      <w:bCs/>
      <w:iCs/>
      <w:kern w:val="36"/>
      <w:szCs w:val="20"/>
      <w:lang w:val="en-GB" w:eastAsia="en-GB"/>
    </w:rPr>
  </w:style>
  <w:style w:type="character" w:customStyle="1" w:styleId="Heading1Char">
    <w:name w:val="Heading 1 Char"/>
    <w:basedOn w:val="DefaultParagraphFont"/>
    <w:link w:val="Heading1"/>
    <w:uiPriority w:val="9"/>
    <w:rsid w:val="003C17A8"/>
    <w:rPr>
      <w:rFonts w:eastAsia="Times New Roman" w:cs="Times New Roman"/>
      <w:b/>
      <w:bCs/>
      <w:kern w:val="36"/>
      <w:szCs w:val="48"/>
      <w:lang w:val="en-GB" w:eastAsia="en-GB"/>
    </w:rPr>
  </w:style>
  <w:style w:type="character" w:customStyle="1" w:styleId="Heading5Char">
    <w:name w:val="Heading 5 Char"/>
    <w:basedOn w:val="DefaultParagraphFont"/>
    <w:link w:val="Heading5"/>
    <w:rsid w:val="003C17A8"/>
    <w:rPr>
      <w:rFonts w:eastAsiaTheme="majorEastAsia" w:cstheme="majorBidi"/>
      <w:b/>
      <w:bCs/>
      <w:iCs/>
      <w:kern w:val="36"/>
      <w:szCs w:val="20"/>
      <w:lang w:val="en-GB" w:eastAsia="en-GB"/>
    </w:rPr>
  </w:style>
  <w:style w:type="character" w:customStyle="1" w:styleId="Heading6Char">
    <w:name w:val="Heading 6 Char"/>
    <w:basedOn w:val="DefaultParagraphFont"/>
    <w:link w:val="Heading6"/>
    <w:uiPriority w:val="9"/>
    <w:rsid w:val="003C17A8"/>
    <w:rPr>
      <w:rFonts w:eastAsiaTheme="majorEastAsia" w:cstheme="majorBidi"/>
      <w:b/>
      <w:bCs/>
      <w:kern w:val="36"/>
      <w:szCs w:val="20"/>
      <w:lang w:val="en-GB" w:eastAsia="en-GB"/>
    </w:rPr>
  </w:style>
  <w:style w:type="character" w:customStyle="1" w:styleId="Heading7Char">
    <w:name w:val="Heading 7 Char"/>
    <w:basedOn w:val="DefaultParagraphFont"/>
    <w:link w:val="Heading7"/>
    <w:uiPriority w:val="9"/>
    <w:rsid w:val="003C17A8"/>
    <w:rPr>
      <w:rFonts w:eastAsiaTheme="majorEastAsia" w:cstheme="majorBidi"/>
      <w:bCs/>
      <w:iCs/>
      <w:kern w:val="36"/>
      <w:szCs w:val="20"/>
      <w:lang w:val="en-GB" w:eastAsia="en-GB"/>
    </w:rPr>
  </w:style>
  <w:style w:type="character" w:customStyle="1" w:styleId="Heading8Char">
    <w:name w:val="Heading 8 Char"/>
    <w:basedOn w:val="DefaultParagraphFont"/>
    <w:link w:val="Heading8"/>
    <w:uiPriority w:val="9"/>
    <w:rsid w:val="003C17A8"/>
    <w:rPr>
      <w:rFonts w:eastAsiaTheme="majorEastAsia" w:cs="Verdana"/>
      <w:bCs/>
      <w:iCs/>
      <w:kern w:val="36"/>
      <w:szCs w:val="20"/>
      <w:lang w:val="en-GB" w:eastAsia="en-GB"/>
    </w:rPr>
  </w:style>
  <w:style w:type="character" w:customStyle="1" w:styleId="Heading9Char">
    <w:name w:val="Heading 9 Char"/>
    <w:basedOn w:val="DefaultParagraphFont"/>
    <w:link w:val="Heading9"/>
    <w:uiPriority w:val="9"/>
    <w:rsid w:val="003C17A8"/>
    <w:rPr>
      <w:rFonts w:eastAsiaTheme="majorEastAsia" w:cstheme="majorBidi"/>
      <w:b/>
      <w:bCs/>
      <w:color w:val="404040" w:themeColor="text1" w:themeTint="BF"/>
      <w:kern w:val="36"/>
      <w:szCs w:val="20"/>
      <w:lang w:val="en-GB" w:eastAsia="en-GB"/>
    </w:rPr>
  </w:style>
  <w:style w:type="paragraph" w:styleId="FootnoteText">
    <w:name w:val="footnote text"/>
    <w:basedOn w:val="Normal"/>
    <w:link w:val="FootnoteTextChar"/>
    <w:uiPriority w:val="99"/>
    <w:semiHidden/>
    <w:unhideWhenUsed/>
    <w:rsid w:val="007941A4"/>
    <w:pPr>
      <w:spacing w:after="0" w:line="240" w:lineRule="auto"/>
    </w:pPr>
    <w:rPr>
      <w:sz w:val="20"/>
      <w:szCs w:val="20"/>
      <w:lang w:val="en-GB" w:eastAsia="en-GB"/>
    </w:rPr>
  </w:style>
  <w:style w:type="character" w:customStyle="1" w:styleId="FootnoteTextChar">
    <w:name w:val="Footnote Text Char"/>
    <w:basedOn w:val="DefaultParagraphFont"/>
    <w:link w:val="FootnoteText"/>
    <w:uiPriority w:val="99"/>
    <w:semiHidden/>
    <w:rsid w:val="007941A4"/>
    <w:rPr>
      <w:rFonts w:eastAsiaTheme="minorEastAsia"/>
      <w:sz w:val="20"/>
      <w:szCs w:val="20"/>
      <w:lang w:val="en-GB" w:eastAsia="en-GB"/>
    </w:rPr>
  </w:style>
  <w:style w:type="character" w:styleId="FootnoteReference">
    <w:name w:val="footnote reference"/>
    <w:basedOn w:val="DefaultParagraphFont"/>
    <w:uiPriority w:val="99"/>
    <w:unhideWhenUsed/>
    <w:rsid w:val="007941A4"/>
    <w:rPr>
      <w:vertAlign w:val="superscript"/>
    </w:rPr>
  </w:style>
  <w:style w:type="character" w:styleId="Strong">
    <w:name w:val="Strong"/>
    <w:basedOn w:val="DefaultParagraphFont"/>
    <w:uiPriority w:val="22"/>
    <w:qFormat/>
    <w:rsid w:val="007941A4"/>
    <w:rPr>
      <w:b/>
      <w:bCs/>
    </w:rPr>
  </w:style>
  <w:style w:type="paragraph" w:styleId="ListParagraph">
    <w:name w:val="List Paragraph"/>
    <w:basedOn w:val="Normal"/>
    <w:uiPriority w:val="34"/>
    <w:qFormat/>
    <w:rsid w:val="002D6F1C"/>
    <w:pPr>
      <w:ind w:left="720"/>
      <w:contextualSpacing/>
    </w:pPr>
  </w:style>
  <w:style w:type="paragraph" w:styleId="Header">
    <w:name w:val="header"/>
    <w:basedOn w:val="Normal"/>
    <w:link w:val="HeaderChar"/>
    <w:uiPriority w:val="99"/>
    <w:semiHidden/>
    <w:unhideWhenUsed/>
    <w:rsid w:val="00B13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410"/>
  </w:style>
  <w:style w:type="paragraph" w:styleId="Footer">
    <w:name w:val="footer"/>
    <w:basedOn w:val="Normal"/>
    <w:link w:val="FooterChar"/>
    <w:uiPriority w:val="99"/>
    <w:unhideWhenUsed/>
    <w:rsid w:val="00B1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410"/>
  </w:style>
  <w:style w:type="character" w:styleId="Hyperlink">
    <w:name w:val="Hyperlink"/>
    <w:basedOn w:val="DefaultParagraphFont"/>
    <w:uiPriority w:val="99"/>
    <w:unhideWhenUsed/>
    <w:rsid w:val="00E04371"/>
    <w:rPr>
      <w:color w:val="0000FF" w:themeColor="hyperlink"/>
      <w:u w:val="single"/>
    </w:rPr>
  </w:style>
  <w:style w:type="character" w:customStyle="1" w:styleId="hd">
    <w:name w:val="hd"/>
    <w:basedOn w:val="DefaultParagraphFont"/>
    <w:rsid w:val="008444F8"/>
  </w:style>
  <w:style w:type="character" w:customStyle="1" w:styleId="normaltext1">
    <w:name w:val="normaltext1"/>
    <w:basedOn w:val="DefaultParagraphFont"/>
    <w:rsid w:val="008444F8"/>
    <w:rPr>
      <w:rFonts w:ascii="Verdana" w:hAnsi="Verdana" w:hint="default"/>
      <w:b w:val="0"/>
      <w:bCs w:val="0"/>
      <w:strike w:val="0"/>
      <w:dstrike w:val="0"/>
      <w:color w:val="D8EDFC"/>
      <w:sz w:val="15"/>
      <w:szCs w:val="15"/>
      <w:u w:val="none"/>
      <w:effect w:val="none"/>
    </w:rPr>
  </w:style>
  <w:style w:type="paragraph" w:styleId="BalloonText">
    <w:name w:val="Balloon Text"/>
    <w:basedOn w:val="Normal"/>
    <w:link w:val="BalloonTextChar"/>
    <w:uiPriority w:val="99"/>
    <w:semiHidden/>
    <w:unhideWhenUsed/>
    <w:rsid w:val="0027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F0"/>
    <w:rPr>
      <w:rFonts w:ascii="Tahoma" w:hAnsi="Tahoma" w:cs="Tahoma"/>
      <w:sz w:val="16"/>
      <w:szCs w:val="16"/>
    </w:rPr>
  </w:style>
  <w:style w:type="paragraph" w:customStyle="1" w:styleId="Default">
    <w:name w:val="Default"/>
    <w:rsid w:val="0000172C"/>
    <w:pPr>
      <w:autoSpaceDE w:val="0"/>
      <w:autoSpaceDN w:val="0"/>
      <w:adjustRightInd w:val="0"/>
      <w:spacing w:after="0" w:line="240" w:lineRule="auto"/>
    </w:pPr>
    <w:rPr>
      <w:rFonts w:ascii="Verdana" w:hAnsi="Verdana" w:cs="Verdana"/>
      <w:color w:val="000000"/>
      <w:sz w:val="24"/>
      <w:szCs w:val="24"/>
      <w:lang w:val="en-GB" w:eastAsia="en-GB"/>
    </w:rPr>
  </w:style>
  <w:style w:type="table" w:customStyle="1" w:styleId="LightList1">
    <w:name w:val="Light List1"/>
    <w:basedOn w:val="TableNormal"/>
    <w:uiPriority w:val="61"/>
    <w:rsid w:val="008A206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945D18"/>
    <w:pPr>
      <w:spacing w:line="240" w:lineRule="auto"/>
    </w:pPr>
    <w:rPr>
      <w:b/>
      <w:bCs/>
      <w:color w:val="4F81BD" w:themeColor="accent1"/>
      <w:sz w:val="18"/>
      <w:szCs w:val="18"/>
    </w:rPr>
  </w:style>
  <w:style w:type="paragraph" w:styleId="TOC2">
    <w:name w:val="toc 2"/>
    <w:basedOn w:val="Normal"/>
    <w:next w:val="Normal"/>
    <w:autoRedefine/>
    <w:uiPriority w:val="39"/>
    <w:unhideWhenUsed/>
    <w:rsid w:val="00E944B4"/>
    <w:pPr>
      <w:spacing w:after="100"/>
      <w:ind w:left="220"/>
    </w:pPr>
  </w:style>
  <w:style w:type="paragraph" w:styleId="TableofFigures">
    <w:name w:val="table of figures"/>
    <w:basedOn w:val="Normal"/>
    <w:next w:val="Normal"/>
    <w:uiPriority w:val="99"/>
    <w:unhideWhenUsed/>
    <w:rsid w:val="00E944B4"/>
    <w:pPr>
      <w:spacing w:after="0"/>
    </w:pPr>
  </w:style>
  <w:style w:type="character" w:styleId="CommentReference">
    <w:name w:val="annotation reference"/>
    <w:basedOn w:val="DefaultParagraphFont"/>
    <w:uiPriority w:val="99"/>
    <w:semiHidden/>
    <w:unhideWhenUsed/>
    <w:rsid w:val="00FC53EC"/>
    <w:rPr>
      <w:sz w:val="16"/>
      <w:szCs w:val="16"/>
    </w:rPr>
  </w:style>
  <w:style w:type="paragraph" w:styleId="CommentText">
    <w:name w:val="annotation text"/>
    <w:basedOn w:val="Normal"/>
    <w:link w:val="CommentTextChar"/>
    <w:uiPriority w:val="99"/>
    <w:semiHidden/>
    <w:unhideWhenUsed/>
    <w:rsid w:val="00FC53EC"/>
    <w:pPr>
      <w:spacing w:line="240" w:lineRule="auto"/>
    </w:pPr>
    <w:rPr>
      <w:sz w:val="20"/>
      <w:szCs w:val="20"/>
    </w:rPr>
  </w:style>
  <w:style w:type="character" w:customStyle="1" w:styleId="CommentTextChar">
    <w:name w:val="Comment Text Char"/>
    <w:basedOn w:val="DefaultParagraphFont"/>
    <w:link w:val="CommentText"/>
    <w:uiPriority w:val="99"/>
    <w:semiHidden/>
    <w:rsid w:val="00FC53EC"/>
    <w:rPr>
      <w:sz w:val="20"/>
      <w:szCs w:val="20"/>
    </w:rPr>
  </w:style>
  <w:style w:type="paragraph" w:styleId="CommentSubject">
    <w:name w:val="annotation subject"/>
    <w:basedOn w:val="CommentText"/>
    <w:next w:val="CommentText"/>
    <w:link w:val="CommentSubjectChar"/>
    <w:uiPriority w:val="99"/>
    <w:semiHidden/>
    <w:unhideWhenUsed/>
    <w:rsid w:val="00FC53EC"/>
    <w:rPr>
      <w:b/>
      <w:bCs/>
    </w:rPr>
  </w:style>
  <w:style w:type="character" w:customStyle="1" w:styleId="CommentSubjectChar">
    <w:name w:val="Comment Subject Char"/>
    <w:basedOn w:val="CommentTextChar"/>
    <w:link w:val="CommentSubject"/>
    <w:uiPriority w:val="99"/>
    <w:semiHidden/>
    <w:rsid w:val="00FC53EC"/>
    <w:rPr>
      <w:b/>
      <w:bCs/>
      <w:sz w:val="20"/>
      <w:szCs w:val="20"/>
    </w:rPr>
  </w:style>
  <w:style w:type="character" w:customStyle="1" w:styleId="st1">
    <w:name w:val="st1"/>
    <w:basedOn w:val="DefaultParagraphFont"/>
    <w:rsid w:val="00B11426"/>
  </w:style>
  <w:style w:type="character" w:styleId="FollowedHyperlink">
    <w:name w:val="FollowedHyperlink"/>
    <w:basedOn w:val="DefaultParagraphFont"/>
    <w:uiPriority w:val="99"/>
    <w:semiHidden/>
    <w:unhideWhenUsed/>
    <w:rsid w:val="00E67D02"/>
    <w:rPr>
      <w:color w:val="800080" w:themeColor="followedHyperlink"/>
      <w:u w:val="single"/>
    </w:rPr>
  </w:style>
  <w:style w:type="paragraph" w:styleId="NormalWeb">
    <w:name w:val="Normal (Web)"/>
    <w:basedOn w:val="Normal"/>
    <w:uiPriority w:val="99"/>
    <w:unhideWhenUsed/>
    <w:rsid w:val="00E67D02"/>
    <w:pPr>
      <w:spacing w:after="100" w:afterAutospacing="1" w:line="360" w:lineRule="atLeast"/>
    </w:pPr>
    <w:rPr>
      <w:rFonts w:ascii="Verdana" w:eastAsia="Times New Roman" w:hAnsi="Verdana" w:cs="Times New Roman"/>
      <w:color w:val="444444"/>
      <w:sz w:val="18"/>
      <w:szCs w:val="18"/>
    </w:rPr>
  </w:style>
  <w:style w:type="character" w:styleId="Emphasis">
    <w:name w:val="Emphasis"/>
    <w:basedOn w:val="DefaultParagraphFont"/>
    <w:uiPriority w:val="20"/>
    <w:qFormat/>
    <w:rsid w:val="00E67D02"/>
    <w:rPr>
      <w:i/>
      <w:iCs/>
    </w:rPr>
  </w:style>
  <w:style w:type="table" w:styleId="TableGrid">
    <w:name w:val="Table Grid"/>
    <w:basedOn w:val="TableNormal"/>
    <w:uiPriority w:val="59"/>
    <w:rsid w:val="00F33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4172">
      <w:bodyDiv w:val="1"/>
      <w:marLeft w:val="0"/>
      <w:marRight w:val="0"/>
      <w:marTop w:val="0"/>
      <w:marBottom w:val="0"/>
      <w:divBdr>
        <w:top w:val="none" w:sz="0" w:space="0" w:color="auto"/>
        <w:left w:val="none" w:sz="0" w:space="0" w:color="auto"/>
        <w:bottom w:val="none" w:sz="0" w:space="0" w:color="auto"/>
        <w:right w:val="none" w:sz="0" w:space="0" w:color="auto"/>
      </w:divBdr>
      <w:divsChild>
        <w:div w:id="865871271">
          <w:marLeft w:val="0"/>
          <w:marRight w:val="0"/>
          <w:marTop w:val="0"/>
          <w:marBottom w:val="0"/>
          <w:divBdr>
            <w:top w:val="none" w:sz="0" w:space="0" w:color="auto"/>
            <w:left w:val="none" w:sz="0" w:space="0" w:color="auto"/>
            <w:bottom w:val="none" w:sz="0" w:space="0" w:color="auto"/>
            <w:right w:val="none" w:sz="0" w:space="0" w:color="auto"/>
          </w:divBdr>
          <w:divsChild>
            <w:div w:id="1918632297">
              <w:marLeft w:val="0"/>
              <w:marRight w:val="0"/>
              <w:marTop w:val="0"/>
              <w:marBottom w:val="0"/>
              <w:divBdr>
                <w:top w:val="single" w:sz="48" w:space="0" w:color="FF0000"/>
                <w:left w:val="single" w:sz="48" w:space="0" w:color="FF0000"/>
                <w:bottom w:val="single" w:sz="48" w:space="0" w:color="FF0000"/>
                <w:right w:val="single" w:sz="48" w:space="0" w:color="FF0000"/>
              </w:divBdr>
              <w:divsChild>
                <w:div w:id="883368051">
                  <w:marLeft w:val="2100"/>
                  <w:marRight w:val="0"/>
                  <w:marTop w:val="0"/>
                  <w:marBottom w:val="0"/>
                  <w:divBdr>
                    <w:top w:val="none" w:sz="0" w:space="0" w:color="auto"/>
                    <w:left w:val="none" w:sz="0" w:space="0" w:color="auto"/>
                    <w:bottom w:val="none" w:sz="0" w:space="0" w:color="auto"/>
                    <w:right w:val="none" w:sz="0" w:space="0" w:color="auto"/>
                  </w:divBdr>
                  <w:divsChild>
                    <w:div w:id="1414472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47831">
      <w:bodyDiv w:val="1"/>
      <w:marLeft w:val="0"/>
      <w:marRight w:val="0"/>
      <w:marTop w:val="0"/>
      <w:marBottom w:val="0"/>
      <w:divBdr>
        <w:top w:val="none" w:sz="0" w:space="0" w:color="auto"/>
        <w:left w:val="none" w:sz="0" w:space="0" w:color="auto"/>
        <w:bottom w:val="none" w:sz="0" w:space="0" w:color="auto"/>
        <w:right w:val="none" w:sz="0" w:space="0" w:color="auto"/>
      </w:divBdr>
    </w:div>
    <w:div w:id="414088250">
      <w:bodyDiv w:val="1"/>
      <w:marLeft w:val="0"/>
      <w:marRight w:val="0"/>
      <w:marTop w:val="0"/>
      <w:marBottom w:val="0"/>
      <w:divBdr>
        <w:top w:val="none" w:sz="0" w:space="0" w:color="auto"/>
        <w:left w:val="none" w:sz="0" w:space="0" w:color="auto"/>
        <w:bottom w:val="none" w:sz="0" w:space="0" w:color="auto"/>
        <w:right w:val="none" w:sz="0" w:space="0" w:color="auto"/>
      </w:divBdr>
    </w:div>
    <w:div w:id="519319434">
      <w:bodyDiv w:val="1"/>
      <w:marLeft w:val="0"/>
      <w:marRight w:val="0"/>
      <w:marTop w:val="0"/>
      <w:marBottom w:val="0"/>
      <w:divBdr>
        <w:top w:val="none" w:sz="0" w:space="0" w:color="auto"/>
        <w:left w:val="none" w:sz="0" w:space="0" w:color="auto"/>
        <w:bottom w:val="none" w:sz="0" w:space="0" w:color="auto"/>
        <w:right w:val="none" w:sz="0" w:space="0" w:color="auto"/>
      </w:divBdr>
    </w:div>
    <w:div w:id="663167393">
      <w:bodyDiv w:val="1"/>
      <w:marLeft w:val="0"/>
      <w:marRight w:val="0"/>
      <w:marTop w:val="0"/>
      <w:marBottom w:val="0"/>
      <w:divBdr>
        <w:top w:val="none" w:sz="0" w:space="0" w:color="auto"/>
        <w:left w:val="none" w:sz="0" w:space="0" w:color="auto"/>
        <w:bottom w:val="none" w:sz="0" w:space="0" w:color="auto"/>
        <w:right w:val="none" w:sz="0" w:space="0" w:color="auto"/>
      </w:divBdr>
    </w:div>
    <w:div w:id="709304540">
      <w:bodyDiv w:val="1"/>
      <w:marLeft w:val="0"/>
      <w:marRight w:val="0"/>
      <w:marTop w:val="0"/>
      <w:marBottom w:val="0"/>
      <w:divBdr>
        <w:top w:val="none" w:sz="0" w:space="0" w:color="auto"/>
        <w:left w:val="none" w:sz="0" w:space="0" w:color="auto"/>
        <w:bottom w:val="none" w:sz="0" w:space="0" w:color="auto"/>
        <w:right w:val="none" w:sz="0" w:space="0" w:color="auto"/>
      </w:divBdr>
    </w:div>
    <w:div w:id="765273276">
      <w:bodyDiv w:val="1"/>
      <w:marLeft w:val="0"/>
      <w:marRight w:val="0"/>
      <w:marTop w:val="0"/>
      <w:marBottom w:val="0"/>
      <w:divBdr>
        <w:top w:val="none" w:sz="0" w:space="0" w:color="auto"/>
        <w:left w:val="none" w:sz="0" w:space="0" w:color="auto"/>
        <w:bottom w:val="none" w:sz="0" w:space="0" w:color="auto"/>
        <w:right w:val="none" w:sz="0" w:space="0" w:color="auto"/>
      </w:divBdr>
    </w:div>
    <w:div w:id="985627613">
      <w:bodyDiv w:val="1"/>
      <w:marLeft w:val="0"/>
      <w:marRight w:val="0"/>
      <w:marTop w:val="0"/>
      <w:marBottom w:val="0"/>
      <w:divBdr>
        <w:top w:val="none" w:sz="0" w:space="0" w:color="auto"/>
        <w:left w:val="none" w:sz="0" w:space="0" w:color="auto"/>
        <w:bottom w:val="none" w:sz="0" w:space="0" w:color="auto"/>
        <w:right w:val="none" w:sz="0" w:space="0" w:color="auto"/>
      </w:divBdr>
    </w:div>
    <w:div w:id="1057163154">
      <w:bodyDiv w:val="1"/>
      <w:marLeft w:val="0"/>
      <w:marRight w:val="0"/>
      <w:marTop w:val="0"/>
      <w:marBottom w:val="0"/>
      <w:divBdr>
        <w:top w:val="none" w:sz="0" w:space="0" w:color="auto"/>
        <w:left w:val="none" w:sz="0" w:space="0" w:color="auto"/>
        <w:bottom w:val="none" w:sz="0" w:space="0" w:color="auto"/>
        <w:right w:val="none" w:sz="0" w:space="0" w:color="auto"/>
      </w:divBdr>
    </w:div>
    <w:div w:id="1062868687">
      <w:bodyDiv w:val="1"/>
      <w:marLeft w:val="0"/>
      <w:marRight w:val="0"/>
      <w:marTop w:val="0"/>
      <w:marBottom w:val="0"/>
      <w:divBdr>
        <w:top w:val="none" w:sz="0" w:space="0" w:color="auto"/>
        <w:left w:val="none" w:sz="0" w:space="0" w:color="auto"/>
        <w:bottom w:val="none" w:sz="0" w:space="0" w:color="auto"/>
        <w:right w:val="none" w:sz="0" w:space="0" w:color="auto"/>
      </w:divBdr>
    </w:div>
    <w:div w:id="1215585198">
      <w:bodyDiv w:val="1"/>
      <w:marLeft w:val="0"/>
      <w:marRight w:val="0"/>
      <w:marTop w:val="0"/>
      <w:marBottom w:val="0"/>
      <w:divBdr>
        <w:top w:val="none" w:sz="0" w:space="0" w:color="auto"/>
        <w:left w:val="none" w:sz="0" w:space="0" w:color="auto"/>
        <w:bottom w:val="none" w:sz="0" w:space="0" w:color="auto"/>
        <w:right w:val="none" w:sz="0" w:space="0" w:color="auto"/>
      </w:divBdr>
    </w:div>
    <w:div w:id="1264268449">
      <w:bodyDiv w:val="1"/>
      <w:marLeft w:val="0"/>
      <w:marRight w:val="0"/>
      <w:marTop w:val="0"/>
      <w:marBottom w:val="0"/>
      <w:divBdr>
        <w:top w:val="none" w:sz="0" w:space="0" w:color="auto"/>
        <w:left w:val="none" w:sz="0" w:space="0" w:color="auto"/>
        <w:bottom w:val="none" w:sz="0" w:space="0" w:color="auto"/>
        <w:right w:val="none" w:sz="0" w:space="0" w:color="auto"/>
      </w:divBdr>
    </w:div>
    <w:div w:id="1306473123">
      <w:bodyDiv w:val="1"/>
      <w:marLeft w:val="0"/>
      <w:marRight w:val="0"/>
      <w:marTop w:val="0"/>
      <w:marBottom w:val="0"/>
      <w:divBdr>
        <w:top w:val="none" w:sz="0" w:space="0" w:color="auto"/>
        <w:left w:val="none" w:sz="0" w:space="0" w:color="auto"/>
        <w:bottom w:val="none" w:sz="0" w:space="0" w:color="auto"/>
        <w:right w:val="none" w:sz="0" w:space="0" w:color="auto"/>
      </w:divBdr>
    </w:div>
    <w:div w:id="1336612849">
      <w:bodyDiv w:val="1"/>
      <w:marLeft w:val="0"/>
      <w:marRight w:val="0"/>
      <w:marTop w:val="0"/>
      <w:marBottom w:val="0"/>
      <w:divBdr>
        <w:top w:val="none" w:sz="0" w:space="0" w:color="auto"/>
        <w:left w:val="none" w:sz="0" w:space="0" w:color="auto"/>
        <w:bottom w:val="none" w:sz="0" w:space="0" w:color="auto"/>
        <w:right w:val="none" w:sz="0" w:space="0" w:color="auto"/>
      </w:divBdr>
    </w:div>
    <w:div w:id="1482115188">
      <w:bodyDiv w:val="1"/>
      <w:marLeft w:val="0"/>
      <w:marRight w:val="0"/>
      <w:marTop w:val="0"/>
      <w:marBottom w:val="0"/>
      <w:divBdr>
        <w:top w:val="none" w:sz="0" w:space="0" w:color="auto"/>
        <w:left w:val="none" w:sz="0" w:space="0" w:color="auto"/>
        <w:bottom w:val="none" w:sz="0" w:space="0" w:color="auto"/>
        <w:right w:val="none" w:sz="0" w:space="0" w:color="auto"/>
      </w:divBdr>
    </w:div>
    <w:div w:id="1793867794">
      <w:bodyDiv w:val="1"/>
      <w:marLeft w:val="0"/>
      <w:marRight w:val="0"/>
      <w:marTop w:val="0"/>
      <w:marBottom w:val="0"/>
      <w:divBdr>
        <w:top w:val="none" w:sz="0" w:space="0" w:color="auto"/>
        <w:left w:val="none" w:sz="0" w:space="0" w:color="auto"/>
        <w:bottom w:val="none" w:sz="0" w:space="0" w:color="auto"/>
        <w:right w:val="none" w:sz="0" w:space="0" w:color="auto"/>
      </w:divBdr>
    </w:div>
    <w:div w:id="18734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www.unep.org/transport/gfei/autotool/nextsteps/developing_a_baseline.asp" TargetMode="External"/><Relationship Id="rId39" Type="http://schemas.openxmlformats.org/officeDocument/2006/relationships/hyperlink" Target="http://www.naamsa.co.za/ecelabels/" TargetMode="External"/><Relationship Id="rId3" Type="http://schemas.openxmlformats.org/officeDocument/2006/relationships/styles" Target="styles.xml"/><Relationship Id="rId21" Type="http://schemas.openxmlformats.org/officeDocument/2006/relationships/hyperlink" Target="http://www.cio.gov.bh/CIO_ENG/SubDetailed.aspx?subcatid=256" TargetMode="External"/><Relationship Id="rId34" Type="http://schemas.openxmlformats.org/officeDocument/2006/relationships/hyperlink" Target="http://www.gzly.miit.gov.cn:8090/datainfo/miit/babs2.jsp" TargetMode="External"/><Relationship Id="rId42" Type="http://schemas.openxmlformats.org/officeDocument/2006/relationships/hyperlink" Target="http://www.car-emissions.co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www.globalfueleconomy.org/Documents/Publications/workplan.pdf" TargetMode="External"/><Relationship Id="rId33" Type="http://schemas.openxmlformats.org/officeDocument/2006/relationships/hyperlink" Target="http://www.fueleconomy.gov/" TargetMode="External"/><Relationship Id="rId38" Type="http://schemas.openxmlformats.org/officeDocument/2006/relationships/hyperlink" Target="http://www.ecovehiculos.gob.mx/" TargetMode="External"/><Relationship Id="rId46" Type="http://schemas.openxmlformats.org/officeDocument/2006/relationships/hyperlink" Target="http://www.theicct.org/sites/default/files/info-tools/GlobalStdReview_Conversionfactor_May17_v1.xlsx"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www.iea.org/co2highlights/co2highlights.pdf" TargetMode="External"/><Relationship Id="rId41" Type="http://schemas.openxmlformats.org/officeDocument/2006/relationships/hyperlink" Target="http://www.nextgreenca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globalfueleconomy.org/about/Pages/AboutHome.aspx" TargetMode="External"/><Relationship Id="rId32" Type="http://schemas.openxmlformats.org/officeDocument/2006/relationships/hyperlink" Target="http://www.see.leeds.ac.uk/research/sri/working-papers/" TargetMode="External"/><Relationship Id="rId37" Type="http://schemas.openxmlformats.org/officeDocument/2006/relationships/hyperlink" Target="http://www.mlit.go.jp/jidosha/jidosha_mn10_000001.html" TargetMode="External"/><Relationship Id="rId40" Type="http://schemas.openxmlformats.org/officeDocument/2006/relationships/hyperlink" Target="http://www.katalog.automobilrevue.ch/" TargetMode="External"/><Relationship Id="rId45"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www.eea.europa.eu/publications/monitoring-co2-emissions-from-new-cars" TargetMode="External"/><Relationship Id="rId28" Type="http://schemas.openxmlformats.org/officeDocument/2006/relationships/hyperlink" Target="http://www.iea.org/publications/freepublications/publication/kwes.pdf" TargetMode="External"/><Relationship Id="rId36" Type="http://schemas.openxmlformats.org/officeDocument/2006/relationships/hyperlink" Target="http://www.greenvehicleguide.gov.au" TargetMode="External"/><Relationship Id="rId49"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www.rita.dot.gov/bts/sites/rita.dot.gov.bts/files/NTS_Entire_Q1.pdf" TargetMode="External"/><Relationship Id="rId44"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cp@cedare.int" TargetMode="External"/><Relationship Id="rId14" Type="http://schemas.openxmlformats.org/officeDocument/2006/relationships/chart" Target="charts/chart5.xml"/><Relationship Id="rId22" Type="http://schemas.openxmlformats.org/officeDocument/2006/relationships/hyperlink" Target="http://www.cio.gov.bh/CIO_ENG/SubDetailed.aspx?subcatid=566" TargetMode="External"/><Relationship Id="rId27" Type="http://schemas.openxmlformats.org/officeDocument/2006/relationships/hyperlink" Target="http://www.iea.org/publications/freepublications/publication/key_world_energy_stats-1.pdf" TargetMode="External"/><Relationship Id="rId30" Type="http://schemas.openxmlformats.org/officeDocument/2006/relationships/hyperlink" Target="http://www.irfnet.org/files-upload/stats/2009/wrs2009_web.pdf" TargetMode="External"/><Relationship Id="rId35" Type="http://schemas.openxmlformats.org/officeDocument/2006/relationships/hyperlink" Target="http://carfueldata.direct.gov.uk/search-new-or-used-cars.aspx" TargetMode="External"/><Relationship Id="rId43" Type="http://schemas.openxmlformats.org/officeDocument/2006/relationships/hyperlink" Target="http://www.falconsolution.com/co2-emission/index.php?Year=0&amp;Make=ACURA&amp;Model=0&amp;Distance=100&amp;DrivenCase=2" TargetMode="External"/><Relationship Id="rId48" Type="http://schemas.openxmlformats.org/officeDocument/2006/relationships/image" Target="media/image3.png"/><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ahamw\Desktop\2013\CO2%20calculations\Excel\assumptions_1_constant%20distant%20travell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mahamw\Desktop\Cedare\results-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mahamw\Desktop\Cedare\results-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ahamw\Desktop\2012\CO2%20per%20car\book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ahamw\Desktop\2013\CO2%20calculations\Excel\Total%20number%20of%20vehicles%20in%20Bahrai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ahamw\Desktop\2012\CO2%20per%20car\book_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ahamw\Desktop\Cedare\results-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mahamw\Desktop\Cedare\results-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mahamw\Desktop\Cedare\results-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mahamw\Desktop\Cedare\results-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mahamw\Desktop\Cedare\result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Population</c:v>
          </c:tx>
          <c:spPr>
            <a:ln w="28575">
              <a:noFill/>
            </a:ln>
          </c:spPr>
          <c:marker>
            <c:symbol val="circle"/>
            <c:size val="7"/>
            <c:spPr>
              <a:solidFill>
                <a:srgbClr val="FF0000"/>
              </a:solidFill>
              <a:ln>
                <a:noFill/>
              </a:ln>
            </c:spPr>
          </c:marker>
          <c:dLbls>
            <c:showLegendKey val="0"/>
            <c:showVal val="1"/>
            <c:showCatName val="0"/>
            <c:showSerName val="0"/>
            <c:showPercent val="0"/>
            <c:showBubbleSize val="0"/>
            <c:showLeaderLines val="0"/>
          </c:dLbls>
          <c:xVal>
            <c:numRef>
              <c:f>'Population-GDP-Vehicles (All) '!$B$2:$B$12</c:f>
              <c:numCache>
                <c:formatCode>General</c:formatCode>
                <c:ptCount val="11"/>
                <c:pt idx="0">
                  <c:v>177719</c:v>
                </c:pt>
                <c:pt idx="1">
                  <c:v>189019</c:v>
                </c:pt>
                <c:pt idx="2">
                  <c:v>210960</c:v>
                </c:pt>
                <c:pt idx="3">
                  <c:v>229714</c:v>
                </c:pt>
                <c:pt idx="4">
                  <c:v>248038</c:v>
                </c:pt>
                <c:pt idx="5">
                  <c:v>264870</c:v>
                </c:pt>
                <c:pt idx="6">
                  <c:v>283853</c:v>
                </c:pt>
                <c:pt idx="7">
                  <c:v>307812</c:v>
                </c:pt>
                <c:pt idx="8">
                  <c:v>333592</c:v>
                </c:pt>
                <c:pt idx="9">
                  <c:v>357061</c:v>
                </c:pt>
                <c:pt idx="10">
                  <c:v>367908</c:v>
                </c:pt>
              </c:numCache>
            </c:numRef>
          </c:xVal>
          <c:yVal>
            <c:numRef>
              <c:f>'Population-GDP-Vehicles (All) '!$G$2:$G$12</c:f>
              <c:numCache>
                <c:formatCode>#,##0</c:formatCode>
                <c:ptCount val="11"/>
                <c:pt idx="0">
                  <c:v>637582</c:v>
                </c:pt>
                <c:pt idx="1">
                  <c:v>661317</c:v>
                </c:pt>
                <c:pt idx="2">
                  <c:v>710554</c:v>
                </c:pt>
                <c:pt idx="3">
                  <c:v>764519</c:v>
                </c:pt>
                <c:pt idx="4">
                  <c:v>823744</c:v>
                </c:pt>
                <c:pt idx="5">
                  <c:v>888824</c:v>
                </c:pt>
                <c:pt idx="6">
                  <c:v>960425</c:v>
                </c:pt>
                <c:pt idx="7">
                  <c:v>1039297</c:v>
                </c:pt>
                <c:pt idx="8">
                  <c:v>1106509</c:v>
                </c:pt>
                <c:pt idx="9">
                  <c:v>1178415</c:v>
                </c:pt>
                <c:pt idx="10">
                  <c:v>1234571</c:v>
                </c:pt>
              </c:numCache>
            </c:numRef>
          </c:yVal>
          <c:smooth val="0"/>
        </c:ser>
        <c:dLbls>
          <c:showLegendKey val="0"/>
          <c:showVal val="0"/>
          <c:showCatName val="0"/>
          <c:showSerName val="0"/>
          <c:showPercent val="0"/>
          <c:showBubbleSize val="0"/>
        </c:dLbls>
        <c:axId val="80908672"/>
        <c:axId val="80910208"/>
      </c:scatterChart>
      <c:scatterChart>
        <c:scatterStyle val="lineMarker"/>
        <c:varyColors val="0"/>
        <c:ser>
          <c:idx val="1"/>
          <c:order val="1"/>
          <c:tx>
            <c:v>GDP</c:v>
          </c:tx>
          <c:spPr>
            <a:ln w="28575">
              <a:noFill/>
            </a:ln>
          </c:spPr>
          <c:marker>
            <c:symbol val="triangle"/>
            <c:size val="7"/>
            <c:spPr>
              <a:solidFill>
                <a:schemeClr val="tx1"/>
              </a:solidFill>
              <a:ln>
                <a:solidFill>
                  <a:sysClr val="windowText" lastClr="000000"/>
                </a:solidFill>
              </a:ln>
            </c:spPr>
          </c:marker>
          <c:dLbls>
            <c:showLegendKey val="0"/>
            <c:showVal val="1"/>
            <c:showCatName val="0"/>
            <c:showSerName val="0"/>
            <c:showPercent val="0"/>
            <c:showBubbleSize val="0"/>
            <c:showLeaderLines val="0"/>
          </c:dLbls>
          <c:xVal>
            <c:numRef>
              <c:f>'Population-GDP-Vehicles (All) '!$B$2:$B$12</c:f>
              <c:numCache>
                <c:formatCode>General</c:formatCode>
                <c:ptCount val="11"/>
                <c:pt idx="0">
                  <c:v>177719</c:v>
                </c:pt>
                <c:pt idx="1">
                  <c:v>189019</c:v>
                </c:pt>
                <c:pt idx="2">
                  <c:v>210960</c:v>
                </c:pt>
                <c:pt idx="3">
                  <c:v>229714</c:v>
                </c:pt>
                <c:pt idx="4">
                  <c:v>248038</c:v>
                </c:pt>
                <c:pt idx="5">
                  <c:v>264870</c:v>
                </c:pt>
                <c:pt idx="6">
                  <c:v>283853</c:v>
                </c:pt>
                <c:pt idx="7">
                  <c:v>307812</c:v>
                </c:pt>
                <c:pt idx="8">
                  <c:v>333592</c:v>
                </c:pt>
                <c:pt idx="9">
                  <c:v>357061</c:v>
                </c:pt>
                <c:pt idx="10">
                  <c:v>367908</c:v>
                </c:pt>
              </c:numCache>
            </c:numRef>
          </c:xVal>
          <c:yVal>
            <c:numRef>
              <c:f>'Population-GDP-Vehicles (All) '!$L$2:$L$12</c:f>
              <c:numCache>
                <c:formatCode>General</c:formatCode>
                <c:ptCount val="11"/>
                <c:pt idx="0">
                  <c:v>2996.9</c:v>
                </c:pt>
                <c:pt idx="1">
                  <c:v>2981.5</c:v>
                </c:pt>
                <c:pt idx="2">
                  <c:v>3192.6</c:v>
                </c:pt>
                <c:pt idx="3">
                  <c:v>3665</c:v>
                </c:pt>
                <c:pt idx="4">
                  <c:v>4224.5</c:v>
                </c:pt>
                <c:pt idx="5">
                  <c:v>5060.6000000000004</c:v>
                </c:pt>
                <c:pt idx="6">
                  <c:v>5960.3</c:v>
                </c:pt>
                <c:pt idx="7">
                  <c:v>6945.6</c:v>
                </c:pt>
                <c:pt idx="8">
                  <c:v>8328.7999999999811</c:v>
                </c:pt>
                <c:pt idx="9">
                  <c:v>7377.5</c:v>
                </c:pt>
                <c:pt idx="10">
                  <c:v>8245.6</c:v>
                </c:pt>
              </c:numCache>
            </c:numRef>
          </c:yVal>
          <c:smooth val="0"/>
        </c:ser>
        <c:dLbls>
          <c:showLegendKey val="0"/>
          <c:showVal val="0"/>
          <c:showCatName val="0"/>
          <c:showSerName val="0"/>
          <c:showPercent val="0"/>
          <c:showBubbleSize val="0"/>
        </c:dLbls>
        <c:axId val="80918400"/>
        <c:axId val="80916480"/>
      </c:scatterChart>
      <c:valAx>
        <c:axId val="80908672"/>
        <c:scaling>
          <c:orientation val="minMax"/>
        </c:scaling>
        <c:delete val="0"/>
        <c:axPos val="b"/>
        <c:numFmt formatCode="General" sourceLinked="1"/>
        <c:majorTickMark val="out"/>
        <c:minorTickMark val="none"/>
        <c:tickLblPos val="nextTo"/>
        <c:crossAx val="80910208"/>
        <c:crosses val="autoZero"/>
        <c:crossBetween val="midCat"/>
        <c:dispUnits>
          <c:builtInUnit val="thousands"/>
          <c:dispUnitsLbl>
            <c:tx>
              <c:rich>
                <a:bodyPr/>
                <a:lstStyle/>
                <a:p>
                  <a:pPr>
                    <a:defRPr/>
                  </a:pPr>
                  <a:r>
                    <a:rPr lang="en-US"/>
                    <a:t>Thousands vehicles</a:t>
                  </a:r>
                </a:p>
              </c:rich>
            </c:tx>
          </c:dispUnitsLbl>
        </c:dispUnits>
      </c:valAx>
      <c:valAx>
        <c:axId val="80910208"/>
        <c:scaling>
          <c:orientation val="minMax"/>
        </c:scaling>
        <c:delete val="0"/>
        <c:axPos val="l"/>
        <c:numFmt formatCode="#,##0" sourceLinked="1"/>
        <c:majorTickMark val="out"/>
        <c:minorTickMark val="none"/>
        <c:tickLblPos val="nextTo"/>
        <c:crossAx val="80908672"/>
        <c:crosses val="autoZero"/>
        <c:crossBetween val="midCat"/>
        <c:dispUnits>
          <c:builtInUnit val="thousands"/>
          <c:dispUnitsLbl>
            <c:tx>
              <c:rich>
                <a:bodyPr/>
                <a:lstStyle/>
                <a:p>
                  <a:pPr>
                    <a:defRPr/>
                  </a:pPr>
                  <a:r>
                    <a:rPr lang="en-US"/>
                    <a:t>Thousands people</a:t>
                  </a:r>
                </a:p>
              </c:rich>
            </c:tx>
          </c:dispUnitsLbl>
        </c:dispUnits>
      </c:valAx>
      <c:valAx>
        <c:axId val="80916480"/>
        <c:scaling>
          <c:orientation val="minMax"/>
        </c:scaling>
        <c:delete val="0"/>
        <c:axPos val="r"/>
        <c:numFmt formatCode="General" sourceLinked="1"/>
        <c:majorTickMark val="out"/>
        <c:minorTickMark val="none"/>
        <c:tickLblPos val="nextTo"/>
        <c:crossAx val="80918400"/>
        <c:crosses val="max"/>
        <c:crossBetween val="midCat"/>
        <c:dispUnits>
          <c:builtInUnit val="thousands"/>
          <c:dispUnitsLbl>
            <c:tx>
              <c:rich>
                <a:bodyPr/>
                <a:lstStyle/>
                <a:p>
                  <a:pPr>
                    <a:defRPr/>
                  </a:pPr>
                  <a:r>
                    <a:rPr lang="en-US"/>
                    <a:t>Billion BD</a:t>
                  </a:r>
                </a:p>
              </c:rich>
            </c:tx>
          </c:dispUnitsLbl>
        </c:dispUnits>
      </c:valAx>
      <c:valAx>
        <c:axId val="80918400"/>
        <c:scaling>
          <c:orientation val="minMax"/>
        </c:scaling>
        <c:delete val="1"/>
        <c:axPos val="b"/>
        <c:numFmt formatCode="General" sourceLinked="1"/>
        <c:majorTickMark val="out"/>
        <c:minorTickMark val="none"/>
        <c:tickLblPos val="nextTo"/>
        <c:crossAx val="80916480"/>
        <c:crosses val="autoZero"/>
        <c:crossBetween val="midCat"/>
      </c:valAx>
    </c:plotArea>
    <c:legend>
      <c:legendPos val="b"/>
      <c:layout>
        <c:manualLayout>
          <c:xMode val="edge"/>
          <c:yMode val="edge"/>
          <c:x val="0.14612294515817101"/>
          <c:y val="0.8190605861767275"/>
          <c:w val="0.23523930561311421"/>
          <c:h val="8.3717191601050067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04396325459316"/>
          <c:y val="5.1400554097404488E-2"/>
          <c:w val="0.73327318460192459"/>
          <c:h val="0.68673009623797165"/>
        </c:manualLayout>
      </c:layout>
      <c:lineChart>
        <c:grouping val="standard"/>
        <c:varyColors val="0"/>
        <c:ser>
          <c:idx val="0"/>
          <c:order val="0"/>
          <c:tx>
            <c:strRef>
              <c:f>Sheet5!$A$2</c:f>
              <c:strCache>
                <c:ptCount val="1"/>
                <c:pt idx="0">
                  <c:v>Average curb weight (kg)</c:v>
                </c:pt>
              </c:strCache>
            </c:strRef>
          </c:tx>
          <c:marker>
            <c:symbol val="none"/>
          </c:marker>
          <c:dLbls>
            <c:showLegendKey val="0"/>
            <c:showVal val="1"/>
            <c:showCatName val="0"/>
            <c:showSerName val="0"/>
            <c:showPercent val="0"/>
            <c:showBubbleSize val="0"/>
            <c:showLeaderLines val="0"/>
          </c:dLbls>
          <c:cat>
            <c:numRef>
              <c:f>Sheet5!$B$1:$E$1</c:f>
              <c:numCache>
                <c:formatCode>General</c:formatCode>
                <c:ptCount val="4"/>
                <c:pt idx="0">
                  <c:v>2005</c:v>
                </c:pt>
                <c:pt idx="1">
                  <c:v>2008</c:v>
                </c:pt>
                <c:pt idx="2">
                  <c:v>2010</c:v>
                </c:pt>
                <c:pt idx="3">
                  <c:v>2012</c:v>
                </c:pt>
              </c:numCache>
            </c:numRef>
          </c:cat>
          <c:val>
            <c:numRef>
              <c:f>Sheet5!$B$2:$E$2</c:f>
              <c:numCache>
                <c:formatCode>General</c:formatCode>
                <c:ptCount val="4"/>
                <c:pt idx="0">
                  <c:v>1685</c:v>
                </c:pt>
                <c:pt idx="1">
                  <c:v>1753</c:v>
                </c:pt>
                <c:pt idx="2">
                  <c:v>1731</c:v>
                </c:pt>
                <c:pt idx="3">
                  <c:v>1718</c:v>
                </c:pt>
              </c:numCache>
            </c:numRef>
          </c:val>
          <c:smooth val="0"/>
        </c:ser>
        <c:dLbls>
          <c:showLegendKey val="0"/>
          <c:showVal val="0"/>
          <c:showCatName val="0"/>
          <c:showSerName val="0"/>
          <c:showPercent val="0"/>
          <c:showBubbleSize val="0"/>
        </c:dLbls>
        <c:marker val="1"/>
        <c:smooth val="0"/>
        <c:axId val="109165568"/>
        <c:axId val="109167360"/>
      </c:lineChart>
      <c:lineChart>
        <c:grouping val="standard"/>
        <c:varyColors val="0"/>
        <c:ser>
          <c:idx val="1"/>
          <c:order val="1"/>
          <c:tx>
            <c:strRef>
              <c:f>Sheet5!$A$3</c:f>
              <c:strCache>
                <c:ptCount val="1"/>
                <c:pt idx="0">
                  <c:v>Average engine size (cc)</c:v>
                </c:pt>
              </c:strCache>
            </c:strRef>
          </c:tx>
          <c:marker>
            <c:symbol val="none"/>
          </c:marker>
          <c:dLbls>
            <c:showLegendKey val="0"/>
            <c:showVal val="1"/>
            <c:showCatName val="0"/>
            <c:showSerName val="0"/>
            <c:showPercent val="0"/>
            <c:showBubbleSize val="0"/>
            <c:showLeaderLines val="0"/>
          </c:dLbls>
          <c:cat>
            <c:numRef>
              <c:f>Sheet5!$B$1:$E$1</c:f>
              <c:numCache>
                <c:formatCode>General</c:formatCode>
                <c:ptCount val="4"/>
                <c:pt idx="0">
                  <c:v>2005</c:v>
                </c:pt>
                <c:pt idx="1">
                  <c:v>2008</c:v>
                </c:pt>
                <c:pt idx="2">
                  <c:v>2010</c:v>
                </c:pt>
                <c:pt idx="3">
                  <c:v>2012</c:v>
                </c:pt>
              </c:numCache>
            </c:numRef>
          </c:cat>
          <c:val>
            <c:numRef>
              <c:f>Sheet5!$B$3:$E$3</c:f>
              <c:numCache>
                <c:formatCode>General</c:formatCode>
                <c:ptCount val="4"/>
                <c:pt idx="0">
                  <c:v>3191</c:v>
                </c:pt>
                <c:pt idx="1">
                  <c:v>3417</c:v>
                </c:pt>
                <c:pt idx="2">
                  <c:v>3061</c:v>
                </c:pt>
                <c:pt idx="3">
                  <c:v>2955</c:v>
                </c:pt>
              </c:numCache>
            </c:numRef>
          </c:val>
          <c:smooth val="0"/>
        </c:ser>
        <c:dLbls>
          <c:showLegendKey val="0"/>
          <c:showVal val="0"/>
          <c:showCatName val="0"/>
          <c:showSerName val="0"/>
          <c:showPercent val="0"/>
          <c:showBubbleSize val="0"/>
        </c:dLbls>
        <c:marker val="1"/>
        <c:smooth val="0"/>
        <c:axId val="109171456"/>
        <c:axId val="109169280"/>
      </c:lineChart>
      <c:catAx>
        <c:axId val="109165568"/>
        <c:scaling>
          <c:orientation val="minMax"/>
        </c:scaling>
        <c:delete val="0"/>
        <c:axPos val="b"/>
        <c:numFmt formatCode="General" sourceLinked="1"/>
        <c:majorTickMark val="out"/>
        <c:minorTickMark val="none"/>
        <c:tickLblPos val="nextTo"/>
        <c:crossAx val="109167360"/>
        <c:crosses val="autoZero"/>
        <c:auto val="1"/>
        <c:lblAlgn val="ctr"/>
        <c:lblOffset val="100"/>
        <c:noMultiLvlLbl val="0"/>
      </c:catAx>
      <c:valAx>
        <c:axId val="109167360"/>
        <c:scaling>
          <c:orientation val="minMax"/>
          <c:max val="2000"/>
          <c:min val="1500"/>
        </c:scaling>
        <c:delete val="0"/>
        <c:axPos val="l"/>
        <c:title>
          <c:tx>
            <c:rich>
              <a:bodyPr rot="0" vert="horz"/>
              <a:lstStyle/>
              <a:p>
                <a:pPr>
                  <a:defRPr/>
                </a:pPr>
                <a:r>
                  <a:rPr lang="en-US"/>
                  <a:t>kg</a:t>
                </a:r>
              </a:p>
            </c:rich>
          </c:tx>
          <c:layout>
            <c:manualLayout>
              <c:xMode val="edge"/>
              <c:yMode val="edge"/>
              <c:x val="8.3333333333333367E-3"/>
              <c:y val="8.179097404491105E-2"/>
            </c:manualLayout>
          </c:layout>
          <c:overlay val="0"/>
        </c:title>
        <c:numFmt formatCode="General" sourceLinked="1"/>
        <c:majorTickMark val="out"/>
        <c:minorTickMark val="none"/>
        <c:tickLblPos val="nextTo"/>
        <c:crossAx val="109165568"/>
        <c:crosses val="autoZero"/>
        <c:crossBetween val="between"/>
        <c:majorUnit val="100"/>
      </c:valAx>
      <c:valAx>
        <c:axId val="109169280"/>
        <c:scaling>
          <c:orientation val="minMax"/>
          <c:min val="2500"/>
        </c:scaling>
        <c:delete val="0"/>
        <c:axPos val="r"/>
        <c:title>
          <c:tx>
            <c:rich>
              <a:bodyPr rot="0" vert="horz"/>
              <a:lstStyle/>
              <a:p>
                <a:pPr>
                  <a:defRPr/>
                </a:pPr>
                <a:r>
                  <a:rPr lang="en-US"/>
                  <a:t>cc</a:t>
                </a:r>
              </a:p>
            </c:rich>
          </c:tx>
          <c:layout>
            <c:manualLayout>
              <c:xMode val="edge"/>
              <c:yMode val="edge"/>
              <c:x val="0.94897222222222222"/>
              <c:y val="7.7161344415281427E-2"/>
            </c:manualLayout>
          </c:layout>
          <c:overlay val="0"/>
        </c:title>
        <c:numFmt formatCode="General" sourceLinked="1"/>
        <c:majorTickMark val="out"/>
        <c:minorTickMark val="none"/>
        <c:tickLblPos val="nextTo"/>
        <c:crossAx val="109171456"/>
        <c:crosses val="max"/>
        <c:crossBetween val="between"/>
        <c:majorUnit val="200"/>
      </c:valAx>
      <c:catAx>
        <c:axId val="109171456"/>
        <c:scaling>
          <c:orientation val="minMax"/>
        </c:scaling>
        <c:delete val="1"/>
        <c:axPos val="b"/>
        <c:numFmt formatCode="General" sourceLinked="1"/>
        <c:majorTickMark val="out"/>
        <c:minorTickMark val="none"/>
        <c:tickLblPos val="nextTo"/>
        <c:crossAx val="10916928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Sheet6!$A$2</c:f>
              <c:strCache>
                <c:ptCount val="1"/>
                <c:pt idx="0">
                  <c:v>Registered a year before the year of manufacture</c:v>
                </c:pt>
              </c:strCache>
            </c:strRef>
          </c:tx>
          <c:invertIfNegative val="0"/>
          <c:cat>
            <c:numRef>
              <c:f>Sheet6!$B$1:$E$1</c:f>
              <c:numCache>
                <c:formatCode>General</c:formatCode>
                <c:ptCount val="4"/>
                <c:pt idx="0">
                  <c:v>2005</c:v>
                </c:pt>
                <c:pt idx="1">
                  <c:v>2008</c:v>
                </c:pt>
                <c:pt idx="2">
                  <c:v>2010</c:v>
                </c:pt>
                <c:pt idx="3">
                  <c:v>2012</c:v>
                </c:pt>
              </c:numCache>
            </c:numRef>
          </c:cat>
          <c:val>
            <c:numRef>
              <c:f>(Sheet6!$B$2,Sheet6!$C$2,Sheet6!$D$2,Sheet6!$E$2)</c:f>
              <c:numCache>
                <c:formatCode>General</c:formatCode>
                <c:ptCount val="4"/>
                <c:pt idx="0">
                  <c:v>5444</c:v>
                </c:pt>
                <c:pt idx="1">
                  <c:v>5669</c:v>
                </c:pt>
                <c:pt idx="2">
                  <c:v>3390</c:v>
                </c:pt>
                <c:pt idx="3">
                  <c:v>5216</c:v>
                </c:pt>
              </c:numCache>
            </c:numRef>
          </c:val>
        </c:ser>
        <c:ser>
          <c:idx val="1"/>
          <c:order val="1"/>
          <c:tx>
            <c:strRef>
              <c:f>Sheet6!$A$3</c:f>
              <c:strCache>
                <c:ptCount val="1"/>
                <c:pt idx="0">
                  <c:v>Registered at the year of manufacture</c:v>
                </c:pt>
              </c:strCache>
            </c:strRef>
          </c:tx>
          <c:invertIfNegative val="0"/>
          <c:dLbls>
            <c:showLegendKey val="0"/>
            <c:showVal val="1"/>
            <c:showCatName val="0"/>
            <c:showSerName val="0"/>
            <c:showPercent val="0"/>
            <c:showBubbleSize val="0"/>
            <c:showLeaderLines val="0"/>
          </c:dLbls>
          <c:cat>
            <c:numRef>
              <c:f>Sheet6!$B$1:$E$1</c:f>
              <c:numCache>
                <c:formatCode>General</c:formatCode>
                <c:ptCount val="4"/>
                <c:pt idx="0">
                  <c:v>2005</c:v>
                </c:pt>
                <c:pt idx="1">
                  <c:v>2008</c:v>
                </c:pt>
                <c:pt idx="2">
                  <c:v>2010</c:v>
                </c:pt>
                <c:pt idx="3">
                  <c:v>2012</c:v>
                </c:pt>
              </c:numCache>
            </c:numRef>
          </c:cat>
          <c:val>
            <c:numRef>
              <c:f>(Sheet6!$B$3,Sheet6!$C$3,Sheet6!$D$3,Sheet6!$E$3)</c:f>
              <c:numCache>
                <c:formatCode>General</c:formatCode>
                <c:ptCount val="4"/>
                <c:pt idx="0">
                  <c:v>13327</c:v>
                </c:pt>
                <c:pt idx="1">
                  <c:v>22550</c:v>
                </c:pt>
                <c:pt idx="2">
                  <c:v>14931</c:v>
                </c:pt>
                <c:pt idx="3">
                  <c:v>21143</c:v>
                </c:pt>
              </c:numCache>
            </c:numRef>
          </c:val>
        </c:ser>
        <c:ser>
          <c:idx val="2"/>
          <c:order val="2"/>
          <c:tx>
            <c:strRef>
              <c:f>Sheet6!$A$4</c:f>
              <c:strCache>
                <c:ptCount val="1"/>
                <c:pt idx="0">
                  <c:v>Registered between one and three years after the year of the manufacture</c:v>
                </c:pt>
              </c:strCache>
            </c:strRef>
          </c:tx>
          <c:invertIfNegative val="0"/>
          <c:cat>
            <c:numRef>
              <c:f>Sheet6!$B$1:$E$1</c:f>
              <c:numCache>
                <c:formatCode>General</c:formatCode>
                <c:ptCount val="4"/>
                <c:pt idx="0">
                  <c:v>2005</c:v>
                </c:pt>
                <c:pt idx="1">
                  <c:v>2008</c:v>
                </c:pt>
                <c:pt idx="2">
                  <c:v>2010</c:v>
                </c:pt>
                <c:pt idx="3">
                  <c:v>2012</c:v>
                </c:pt>
              </c:numCache>
            </c:numRef>
          </c:cat>
          <c:val>
            <c:numRef>
              <c:f>(Sheet6!$B$4,Sheet6!$C$4,Sheet6!$D$4,Sheet6!$E$4)</c:f>
              <c:numCache>
                <c:formatCode>General</c:formatCode>
                <c:ptCount val="4"/>
                <c:pt idx="0">
                  <c:v>2912</c:v>
                </c:pt>
                <c:pt idx="1">
                  <c:v>2769</c:v>
                </c:pt>
                <c:pt idx="2">
                  <c:v>2156</c:v>
                </c:pt>
                <c:pt idx="3">
                  <c:v>2191</c:v>
                </c:pt>
              </c:numCache>
            </c:numRef>
          </c:val>
        </c:ser>
        <c:ser>
          <c:idx val="3"/>
          <c:order val="3"/>
          <c:tx>
            <c:strRef>
              <c:f>Sheet6!$A$5</c:f>
              <c:strCache>
                <c:ptCount val="1"/>
                <c:pt idx="0">
                  <c:v>Registered at more than three years after the year of the manufacture</c:v>
                </c:pt>
              </c:strCache>
            </c:strRef>
          </c:tx>
          <c:invertIfNegative val="0"/>
          <c:cat>
            <c:numRef>
              <c:f>Sheet6!$B$1:$E$1</c:f>
              <c:numCache>
                <c:formatCode>General</c:formatCode>
                <c:ptCount val="4"/>
                <c:pt idx="0">
                  <c:v>2005</c:v>
                </c:pt>
                <c:pt idx="1">
                  <c:v>2008</c:v>
                </c:pt>
                <c:pt idx="2">
                  <c:v>2010</c:v>
                </c:pt>
                <c:pt idx="3">
                  <c:v>2012</c:v>
                </c:pt>
              </c:numCache>
            </c:numRef>
          </c:cat>
          <c:val>
            <c:numRef>
              <c:f>(Sheet6!$B$5,Sheet6!$C$5,Sheet6!$D$5,Sheet6!$E$5)</c:f>
              <c:numCache>
                <c:formatCode>General</c:formatCode>
                <c:ptCount val="4"/>
                <c:pt idx="0">
                  <c:v>3294</c:v>
                </c:pt>
                <c:pt idx="1">
                  <c:v>1174</c:v>
                </c:pt>
                <c:pt idx="2">
                  <c:v>0</c:v>
                </c:pt>
                <c:pt idx="3">
                  <c:v>0</c:v>
                </c:pt>
              </c:numCache>
            </c:numRef>
          </c:val>
        </c:ser>
        <c:dLbls>
          <c:showLegendKey val="0"/>
          <c:showVal val="0"/>
          <c:showCatName val="0"/>
          <c:showSerName val="0"/>
          <c:showPercent val="0"/>
          <c:showBubbleSize val="0"/>
        </c:dLbls>
        <c:gapWidth val="150"/>
        <c:overlap val="100"/>
        <c:axId val="112794624"/>
        <c:axId val="112808704"/>
      </c:barChart>
      <c:catAx>
        <c:axId val="112794624"/>
        <c:scaling>
          <c:orientation val="minMax"/>
        </c:scaling>
        <c:delete val="0"/>
        <c:axPos val="b"/>
        <c:numFmt formatCode="General" sourceLinked="1"/>
        <c:majorTickMark val="out"/>
        <c:minorTickMark val="none"/>
        <c:tickLblPos val="nextTo"/>
        <c:crossAx val="112808704"/>
        <c:crosses val="autoZero"/>
        <c:auto val="1"/>
        <c:lblAlgn val="ctr"/>
        <c:lblOffset val="100"/>
        <c:noMultiLvlLbl val="0"/>
      </c:catAx>
      <c:valAx>
        <c:axId val="112808704"/>
        <c:scaling>
          <c:orientation val="minMax"/>
        </c:scaling>
        <c:delete val="0"/>
        <c:axPos val="l"/>
        <c:numFmt formatCode="General" sourceLinked="1"/>
        <c:majorTickMark val="out"/>
        <c:minorTickMark val="none"/>
        <c:tickLblPos val="nextTo"/>
        <c:crossAx val="112794624"/>
        <c:crosses val="autoZero"/>
        <c:crossBetween val="between"/>
        <c:dispUnits>
          <c:builtInUnit val="thousands"/>
          <c:dispUnitsLbl>
            <c:tx>
              <c:rich>
                <a:bodyPr/>
                <a:lstStyle/>
                <a:p>
                  <a:pPr>
                    <a:defRPr/>
                  </a:pPr>
                  <a:r>
                    <a:rPr lang="en-US"/>
                    <a:t>Thousand vehicles</a:t>
                  </a:r>
                </a:p>
              </c:rich>
            </c:tx>
          </c:dispUnitsLbl>
        </c:dispUnits>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dLbls>
            <c:showLegendKey val="0"/>
            <c:showVal val="1"/>
            <c:showCatName val="0"/>
            <c:showSerName val="0"/>
            <c:showPercent val="0"/>
            <c:showBubbleSize val="0"/>
            <c:showLeaderLines val="0"/>
          </c:dLbls>
          <c:cat>
            <c:numRef>
              <c:f>'gasoline &amp; diesel con.'!$B$1:$L$1</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'gasoline &amp; diesel con.'!$B$4:$L$4</c:f>
              <c:numCache>
                <c:formatCode>General</c:formatCode>
                <c:ptCount val="11"/>
                <c:pt idx="0">
                  <c:v>3014350</c:v>
                </c:pt>
                <c:pt idx="1">
                  <c:v>3143120</c:v>
                </c:pt>
                <c:pt idx="2">
                  <c:v>3429410</c:v>
                </c:pt>
                <c:pt idx="3">
                  <c:v>3639380</c:v>
                </c:pt>
                <c:pt idx="4">
                  <c:v>3837740</c:v>
                </c:pt>
                <c:pt idx="5">
                  <c:v>3933800</c:v>
                </c:pt>
                <c:pt idx="6">
                  <c:v>4232630</c:v>
                </c:pt>
                <c:pt idx="7">
                  <c:v>4303160</c:v>
                </c:pt>
                <c:pt idx="8">
                  <c:v>4681990</c:v>
                </c:pt>
                <c:pt idx="9">
                  <c:v>4945000</c:v>
                </c:pt>
                <c:pt idx="10">
                  <c:v>5157350</c:v>
                </c:pt>
              </c:numCache>
            </c:numRef>
          </c:val>
          <c:smooth val="0"/>
        </c:ser>
        <c:dLbls>
          <c:showLegendKey val="0"/>
          <c:showVal val="0"/>
          <c:showCatName val="0"/>
          <c:showSerName val="0"/>
          <c:showPercent val="0"/>
          <c:showBubbleSize val="0"/>
        </c:dLbls>
        <c:marker val="1"/>
        <c:smooth val="0"/>
        <c:axId val="103425920"/>
        <c:axId val="103427456"/>
      </c:lineChart>
      <c:catAx>
        <c:axId val="103425920"/>
        <c:scaling>
          <c:orientation val="minMax"/>
        </c:scaling>
        <c:delete val="0"/>
        <c:axPos val="b"/>
        <c:numFmt formatCode="General" sourceLinked="1"/>
        <c:majorTickMark val="out"/>
        <c:minorTickMark val="none"/>
        <c:tickLblPos val="nextTo"/>
        <c:txPr>
          <a:bodyPr/>
          <a:lstStyle/>
          <a:p>
            <a:pPr>
              <a:defRPr sz="1000"/>
            </a:pPr>
            <a:endParaRPr lang="en-US"/>
          </a:p>
        </c:txPr>
        <c:crossAx val="103427456"/>
        <c:crosses val="autoZero"/>
        <c:auto val="1"/>
        <c:lblAlgn val="ctr"/>
        <c:lblOffset val="100"/>
        <c:noMultiLvlLbl val="0"/>
      </c:catAx>
      <c:valAx>
        <c:axId val="103427456"/>
        <c:scaling>
          <c:orientation val="minMax"/>
          <c:min val="2000000"/>
        </c:scaling>
        <c:delete val="0"/>
        <c:axPos val="l"/>
        <c:numFmt formatCode="General" sourceLinked="1"/>
        <c:majorTickMark val="out"/>
        <c:minorTickMark val="none"/>
        <c:tickLblPos val="nextTo"/>
        <c:txPr>
          <a:bodyPr/>
          <a:lstStyle/>
          <a:p>
            <a:pPr>
              <a:defRPr sz="1000"/>
            </a:pPr>
            <a:endParaRPr lang="en-US"/>
          </a:p>
        </c:txPr>
        <c:crossAx val="103425920"/>
        <c:crosses val="autoZero"/>
        <c:crossBetween val="between"/>
        <c:majorUnit val="1000000"/>
        <c:dispUnits>
          <c:builtInUnit val="millions"/>
          <c:dispUnitsLbl>
            <c:tx>
              <c:rich>
                <a:bodyPr/>
                <a:lstStyle/>
                <a:p>
                  <a:pPr>
                    <a:defRPr sz="1000" b="1"/>
                  </a:pPr>
                  <a:r>
                    <a:rPr lang="en-US" sz="1000" b="1" dirty="0" smtClean="0"/>
                    <a:t>Millions TJ</a:t>
                  </a:r>
                  <a:endParaRPr lang="en-US" sz="1000" b="1" dirty="0"/>
                </a:p>
              </c:rich>
            </c:tx>
          </c:dispUnitsLbl>
        </c:dispUnits>
      </c:valAx>
    </c:plotArea>
    <c:plotVisOnly val="1"/>
    <c:dispBlanksAs val="gap"/>
    <c:showDLblsOverMax val="0"/>
  </c:chart>
  <c:spPr>
    <a:solidFill>
      <a:schemeClr val="bg1"/>
    </a:solidFill>
  </c:spPr>
  <c:txPr>
    <a:bodyPr/>
    <a:lstStyle/>
    <a:p>
      <a:pPr>
        <a:defRPr sz="15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dLbls>
            <c:showLegendKey val="0"/>
            <c:showVal val="1"/>
            <c:showCatName val="0"/>
            <c:showSerName val="0"/>
            <c:showPercent val="0"/>
            <c:showBubbleSize val="0"/>
            <c:showLeaderLines val="0"/>
          </c:dLbls>
          <c:cat>
            <c:numRef>
              <c:f>Sheet1!$A$1:$A$13</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Sheet1!$B$1:$B$13</c:f>
              <c:numCache>
                <c:formatCode>General</c:formatCode>
                <c:ptCount val="13"/>
                <c:pt idx="0">
                  <c:v>216679</c:v>
                </c:pt>
                <c:pt idx="1">
                  <c:v>229780</c:v>
                </c:pt>
                <c:pt idx="2">
                  <c:v>250978</c:v>
                </c:pt>
                <c:pt idx="3">
                  <c:v>273230</c:v>
                </c:pt>
                <c:pt idx="4">
                  <c:v>293801</c:v>
                </c:pt>
                <c:pt idx="5">
                  <c:v>314033</c:v>
                </c:pt>
                <c:pt idx="6">
                  <c:v>337545</c:v>
                </c:pt>
                <c:pt idx="7">
                  <c:v>366732</c:v>
                </c:pt>
                <c:pt idx="8">
                  <c:v>399546</c:v>
                </c:pt>
                <c:pt idx="9">
                  <c:v>428957</c:v>
                </c:pt>
                <c:pt idx="10">
                  <c:v>452222</c:v>
                </c:pt>
                <c:pt idx="11">
                  <c:v>475150</c:v>
                </c:pt>
                <c:pt idx="12">
                  <c:v>501481</c:v>
                </c:pt>
              </c:numCache>
            </c:numRef>
          </c:val>
          <c:smooth val="0"/>
        </c:ser>
        <c:dLbls>
          <c:showLegendKey val="0"/>
          <c:showVal val="0"/>
          <c:showCatName val="0"/>
          <c:showSerName val="0"/>
          <c:showPercent val="0"/>
          <c:showBubbleSize val="0"/>
        </c:dLbls>
        <c:marker val="1"/>
        <c:smooth val="0"/>
        <c:axId val="103435648"/>
        <c:axId val="103445632"/>
      </c:lineChart>
      <c:catAx>
        <c:axId val="103435648"/>
        <c:scaling>
          <c:orientation val="minMax"/>
        </c:scaling>
        <c:delete val="0"/>
        <c:axPos val="b"/>
        <c:numFmt formatCode="General" sourceLinked="1"/>
        <c:majorTickMark val="out"/>
        <c:minorTickMark val="none"/>
        <c:tickLblPos val="nextTo"/>
        <c:crossAx val="103445632"/>
        <c:crosses val="autoZero"/>
        <c:auto val="1"/>
        <c:lblAlgn val="ctr"/>
        <c:lblOffset val="100"/>
        <c:noMultiLvlLbl val="0"/>
      </c:catAx>
      <c:valAx>
        <c:axId val="103445632"/>
        <c:scaling>
          <c:orientation val="minMax"/>
          <c:min val="200000"/>
        </c:scaling>
        <c:delete val="0"/>
        <c:axPos val="l"/>
        <c:numFmt formatCode="General" sourceLinked="1"/>
        <c:majorTickMark val="out"/>
        <c:minorTickMark val="none"/>
        <c:tickLblPos val="nextTo"/>
        <c:crossAx val="103435648"/>
        <c:crosses val="autoZero"/>
        <c:crossBetween val="between"/>
        <c:dispUnits>
          <c:builtInUnit val="thousands"/>
          <c:dispUnitsLbl>
            <c:tx>
              <c:rich>
                <a:bodyPr/>
                <a:lstStyle/>
                <a:p>
                  <a:pPr>
                    <a:defRPr b="1"/>
                  </a:pPr>
                  <a:r>
                    <a:rPr lang="en-US" b="1"/>
                    <a:t>Thousand vehicles</a:t>
                  </a:r>
                </a:p>
              </c:rich>
            </c:tx>
          </c:dispUnitsLbl>
        </c:dispUnits>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dLbls>
            <c:showLegendKey val="0"/>
            <c:showVal val="1"/>
            <c:showCatName val="0"/>
            <c:showSerName val="0"/>
            <c:showPercent val="0"/>
            <c:showBubbleSize val="0"/>
            <c:showLeaderLines val="0"/>
          </c:dLbls>
          <c:cat>
            <c:numRef>
              <c:f>'co2'!$A$2:$A$12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'co2'!$B$2:$B$12</c:f>
              <c:numCache>
                <c:formatCode>General</c:formatCode>
                <c:ptCount val="11"/>
                <c:pt idx="0">
                  <c:v>1498</c:v>
                </c:pt>
                <c:pt idx="1">
                  <c:v>1500.09</c:v>
                </c:pt>
                <c:pt idx="2">
                  <c:v>1712.48</c:v>
                </c:pt>
                <c:pt idx="3">
                  <c:v>1863.74</c:v>
                </c:pt>
                <c:pt idx="4">
                  <c:v>2021.6399999999999</c:v>
                </c:pt>
                <c:pt idx="5">
                  <c:v>2350.25</c:v>
                </c:pt>
                <c:pt idx="6">
                  <c:v>2546</c:v>
                </c:pt>
                <c:pt idx="7">
                  <c:v>2587.2199999999998</c:v>
                </c:pt>
                <c:pt idx="8">
                  <c:v>2906.7799999999997</c:v>
                </c:pt>
                <c:pt idx="9">
                  <c:v>2928.59</c:v>
                </c:pt>
                <c:pt idx="10">
                  <c:v>2905.25</c:v>
                </c:pt>
              </c:numCache>
            </c:numRef>
          </c:val>
          <c:smooth val="0"/>
        </c:ser>
        <c:dLbls>
          <c:showLegendKey val="0"/>
          <c:showVal val="0"/>
          <c:showCatName val="0"/>
          <c:showSerName val="0"/>
          <c:showPercent val="0"/>
          <c:showBubbleSize val="0"/>
        </c:dLbls>
        <c:marker val="1"/>
        <c:smooth val="0"/>
        <c:axId val="103478400"/>
        <c:axId val="103479936"/>
      </c:lineChart>
      <c:catAx>
        <c:axId val="103478400"/>
        <c:scaling>
          <c:orientation val="minMax"/>
        </c:scaling>
        <c:delete val="0"/>
        <c:axPos val="b"/>
        <c:numFmt formatCode="General" sourceLinked="1"/>
        <c:majorTickMark val="out"/>
        <c:minorTickMark val="none"/>
        <c:tickLblPos val="nextTo"/>
        <c:txPr>
          <a:bodyPr/>
          <a:lstStyle/>
          <a:p>
            <a:pPr>
              <a:defRPr sz="1000"/>
            </a:pPr>
            <a:endParaRPr lang="en-US"/>
          </a:p>
        </c:txPr>
        <c:crossAx val="103479936"/>
        <c:crosses val="autoZero"/>
        <c:auto val="1"/>
        <c:lblAlgn val="ctr"/>
        <c:lblOffset val="100"/>
        <c:noMultiLvlLbl val="0"/>
      </c:catAx>
      <c:valAx>
        <c:axId val="103479936"/>
        <c:scaling>
          <c:orientation val="minMax"/>
          <c:max val="3000"/>
          <c:min val="1000"/>
        </c:scaling>
        <c:delete val="0"/>
        <c:axPos val="l"/>
        <c:title>
          <c:tx>
            <c:rich>
              <a:bodyPr rot="-5400000" vert="horz"/>
              <a:lstStyle/>
              <a:p>
                <a:pPr>
                  <a:defRPr sz="1000"/>
                </a:pPr>
                <a:r>
                  <a:rPr lang="en-US" sz="1000"/>
                  <a:t>Gg CO2</a:t>
                </a:r>
              </a:p>
            </c:rich>
          </c:tx>
          <c:overlay val="0"/>
        </c:title>
        <c:numFmt formatCode="General" sourceLinked="1"/>
        <c:majorTickMark val="out"/>
        <c:minorTickMark val="none"/>
        <c:tickLblPos val="nextTo"/>
        <c:txPr>
          <a:bodyPr/>
          <a:lstStyle/>
          <a:p>
            <a:pPr>
              <a:defRPr sz="1000"/>
            </a:pPr>
            <a:endParaRPr lang="en-US"/>
          </a:p>
        </c:txPr>
        <c:crossAx val="103478400"/>
        <c:crosses val="autoZero"/>
        <c:crossBetween val="between"/>
        <c:majorUnit val="500"/>
      </c:valAx>
    </c:plotArea>
    <c:plotVisOnly val="1"/>
    <c:dispBlanksAs val="gap"/>
    <c:showDLblsOverMax val="0"/>
  </c:chart>
  <c:spPr>
    <a:solidFill>
      <a:schemeClr val="bg1"/>
    </a:solidFill>
  </c:spPr>
  <c:txPr>
    <a:bodyPr/>
    <a:lstStyle/>
    <a:p>
      <a:pPr>
        <a:defRPr sz="15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221852076183309E-2"/>
          <c:y val="5.4224760366492653E-2"/>
          <c:w val="0.82499646678780569"/>
          <c:h val="0.64713449280378765"/>
        </c:manualLayout>
      </c:layout>
      <c:barChart>
        <c:barDir val="col"/>
        <c:grouping val="clustered"/>
        <c:varyColors val="0"/>
        <c:ser>
          <c:idx val="2"/>
          <c:order val="2"/>
          <c:tx>
            <c:strRef>
              <c:f>Sheet1!$K$2</c:f>
              <c:strCache>
                <c:ptCount val="1"/>
                <c:pt idx="0">
                  <c:v>Average CO2 emissions (g/km)</c:v>
                </c:pt>
              </c:strCache>
            </c:strRef>
          </c:tx>
          <c:invertIfNegative val="0"/>
          <c:dLbls>
            <c:showLegendKey val="0"/>
            <c:showVal val="1"/>
            <c:showCatName val="0"/>
            <c:showSerName val="0"/>
            <c:showPercent val="0"/>
            <c:showBubbleSize val="0"/>
            <c:showLeaderLines val="0"/>
          </c:dLbls>
          <c:val>
            <c:numRef>
              <c:f>Sheet1!$K$3:$K$6</c:f>
              <c:numCache>
                <c:formatCode>General</c:formatCode>
                <c:ptCount val="4"/>
                <c:pt idx="0">
                  <c:v>247.1</c:v>
                </c:pt>
                <c:pt idx="1">
                  <c:v>249</c:v>
                </c:pt>
                <c:pt idx="2">
                  <c:v>251</c:v>
                </c:pt>
                <c:pt idx="3">
                  <c:v>229.6</c:v>
                </c:pt>
              </c:numCache>
            </c:numRef>
          </c:val>
        </c:ser>
        <c:dLbls>
          <c:showLegendKey val="0"/>
          <c:showVal val="0"/>
          <c:showCatName val="0"/>
          <c:showSerName val="0"/>
          <c:showPercent val="0"/>
          <c:showBubbleSize val="0"/>
        </c:dLbls>
        <c:gapWidth val="150"/>
        <c:axId val="105771392"/>
        <c:axId val="105756928"/>
      </c:barChart>
      <c:lineChart>
        <c:grouping val="standard"/>
        <c:varyColors val="0"/>
        <c:ser>
          <c:idx val="0"/>
          <c:order val="0"/>
          <c:tx>
            <c:strRef>
              <c:f>Sheet1!$I$2</c:f>
              <c:strCache>
                <c:ptCount val="1"/>
                <c:pt idx="0">
                  <c:v>Average fuel economy (CAFE)</c:v>
                </c:pt>
              </c:strCache>
            </c:strRef>
          </c:tx>
          <c:marker>
            <c:symbol val="none"/>
          </c:marker>
          <c:dLbls>
            <c:showLegendKey val="0"/>
            <c:showVal val="1"/>
            <c:showCatName val="0"/>
            <c:showSerName val="0"/>
            <c:showPercent val="0"/>
            <c:showBubbleSize val="0"/>
            <c:showLeaderLines val="0"/>
          </c:dLbls>
          <c:cat>
            <c:numRef>
              <c:f>Sheet1!$H$3:$H$6</c:f>
              <c:numCache>
                <c:formatCode>General</c:formatCode>
                <c:ptCount val="4"/>
                <c:pt idx="0">
                  <c:v>2005</c:v>
                </c:pt>
                <c:pt idx="1">
                  <c:v>2008</c:v>
                </c:pt>
                <c:pt idx="2">
                  <c:v>2010</c:v>
                </c:pt>
                <c:pt idx="3">
                  <c:v>2012</c:v>
                </c:pt>
              </c:numCache>
            </c:numRef>
          </c:cat>
          <c:val>
            <c:numRef>
              <c:f>Sheet1!$I$3:$I$6</c:f>
              <c:numCache>
                <c:formatCode>General</c:formatCode>
                <c:ptCount val="4"/>
                <c:pt idx="0">
                  <c:v>10.5</c:v>
                </c:pt>
                <c:pt idx="1">
                  <c:v>10.6</c:v>
                </c:pt>
                <c:pt idx="2">
                  <c:v>10.7</c:v>
                </c:pt>
                <c:pt idx="3">
                  <c:v>9.6</c:v>
                </c:pt>
              </c:numCache>
            </c:numRef>
          </c:val>
          <c:smooth val="0"/>
        </c:ser>
        <c:ser>
          <c:idx val="1"/>
          <c:order val="1"/>
          <c:tx>
            <c:strRef>
              <c:f>Sheet1!$J$2</c:f>
              <c:strCache>
                <c:ptCount val="1"/>
                <c:pt idx="0">
                  <c:v>Average fuel economy (NEDC)</c:v>
                </c:pt>
              </c:strCache>
            </c:strRef>
          </c:tx>
          <c:marker>
            <c:symbol val="none"/>
          </c:marker>
          <c:dLbls>
            <c:showLegendKey val="0"/>
            <c:showVal val="1"/>
            <c:showCatName val="0"/>
            <c:showSerName val="0"/>
            <c:showPercent val="0"/>
            <c:showBubbleSize val="0"/>
            <c:showLeaderLines val="0"/>
          </c:dLbls>
          <c:cat>
            <c:numRef>
              <c:f>Sheet1!$H$3:$H$6</c:f>
              <c:numCache>
                <c:formatCode>General</c:formatCode>
                <c:ptCount val="4"/>
                <c:pt idx="0">
                  <c:v>2005</c:v>
                </c:pt>
                <c:pt idx="1">
                  <c:v>2008</c:v>
                </c:pt>
                <c:pt idx="2">
                  <c:v>2010</c:v>
                </c:pt>
                <c:pt idx="3">
                  <c:v>2012</c:v>
                </c:pt>
              </c:numCache>
            </c:numRef>
          </c:cat>
          <c:val>
            <c:numRef>
              <c:f>Sheet1!$J$3:$J$6</c:f>
              <c:numCache>
                <c:formatCode>General</c:formatCode>
                <c:ptCount val="4"/>
                <c:pt idx="0">
                  <c:v>12.1</c:v>
                </c:pt>
                <c:pt idx="1">
                  <c:v>12.2</c:v>
                </c:pt>
                <c:pt idx="2">
                  <c:v>12.2</c:v>
                </c:pt>
                <c:pt idx="3">
                  <c:v>11.1</c:v>
                </c:pt>
              </c:numCache>
            </c:numRef>
          </c:val>
          <c:smooth val="0"/>
        </c:ser>
        <c:dLbls>
          <c:showLegendKey val="0"/>
          <c:showVal val="0"/>
          <c:showCatName val="0"/>
          <c:showSerName val="0"/>
          <c:showPercent val="0"/>
          <c:showBubbleSize val="0"/>
        </c:dLbls>
        <c:marker val="1"/>
        <c:smooth val="0"/>
        <c:axId val="105745024"/>
        <c:axId val="105755008"/>
      </c:lineChart>
      <c:catAx>
        <c:axId val="105745024"/>
        <c:scaling>
          <c:orientation val="minMax"/>
        </c:scaling>
        <c:delete val="0"/>
        <c:axPos val="b"/>
        <c:numFmt formatCode="General" sourceLinked="1"/>
        <c:majorTickMark val="out"/>
        <c:minorTickMark val="none"/>
        <c:tickLblPos val="nextTo"/>
        <c:crossAx val="105755008"/>
        <c:crosses val="autoZero"/>
        <c:auto val="1"/>
        <c:lblAlgn val="ctr"/>
        <c:lblOffset val="100"/>
        <c:noMultiLvlLbl val="0"/>
      </c:catAx>
      <c:valAx>
        <c:axId val="105755008"/>
        <c:scaling>
          <c:orientation val="minMax"/>
          <c:min val="5"/>
        </c:scaling>
        <c:delete val="0"/>
        <c:axPos val="l"/>
        <c:title>
          <c:tx>
            <c:rich>
              <a:bodyPr rot="-5400000" vert="horz"/>
              <a:lstStyle/>
              <a:p>
                <a:pPr>
                  <a:defRPr/>
                </a:pPr>
                <a:r>
                  <a:rPr lang="en-US"/>
                  <a:t>L/100 km</a:t>
                </a:r>
              </a:p>
            </c:rich>
          </c:tx>
          <c:layout>
            <c:manualLayout>
              <c:xMode val="edge"/>
              <c:yMode val="edge"/>
              <c:x val="6.4102564102564248E-3"/>
              <c:y val="0.27784065453356793"/>
            </c:manualLayout>
          </c:layout>
          <c:overlay val="0"/>
        </c:title>
        <c:numFmt formatCode="General" sourceLinked="1"/>
        <c:majorTickMark val="out"/>
        <c:minorTickMark val="none"/>
        <c:tickLblPos val="nextTo"/>
        <c:crossAx val="105745024"/>
        <c:crosses val="autoZero"/>
        <c:crossBetween val="between"/>
        <c:majorUnit val="1"/>
      </c:valAx>
      <c:valAx>
        <c:axId val="105756928"/>
        <c:scaling>
          <c:orientation val="minMax"/>
          <c:min val="200"/>
        </c:scaling>
        <c:delete val="0"/>
        <c:axPos val="r"/>
        <c:title>
          <c:tx>
            <c:rich>
              <a:bodyPr rot="-5400000" vert="horz"/>
              <a:lstStyle/>
              <a:p>
                <a:pPr>
                  <a:defRPr/>
                </a:pPr>
                <a:r>
                  <a:rPr lang="en-US"/>
                  <a:t>g/km</a:t>
                </a:r>
              </a:p>
            </c:rich>
          </c:tx>
          <c:layout>
            <c:manualLayout>
              <c:xMode val="edge"/>
              <c:yMode val="edge"/>
              <c:x val="0.96323709536308155"/>
              <c:y val="0.30948900618191982"/>
            </c:manualLayout>
          </c:layout>
          <c:overlay val="0"/>
        </c:title>
        <c:numFmt formatCode="General" sourceLinked="1"/>
        <c:majorTickMark val="out"/>
        <c:minorTickMark val="none"/>
        <c:tickLblPos val="nextTo"/>
        <c:crossAx val="105771392"/>
        <c:crosses val="max"/>
        <c:crossBetween val="between"/>
      </c:valAx>
      <c:catAx>
        <c:axId val="105771392"/>
        <c:scaling>
          <c:orientation val="minMax"/>
        </c:scaling>
        <c:delete val="1"/>
        <c:axPos val="b"/>
        <c:majorTickMark val="out"/>
        <c:minorTickMark val="none"/>
        <c:tickLblPos val="nextTo"/>
        <c:crossAx val="105756928"/>
        <c:crosses val="autoZero"/>
        <c:auto val="1"/>
        <c:lblAlgn val="ctr"/>
        <c:lblOffset val="100"/>
        <c:noMultiLvlLbl val="0"/>
      </c:catAx>
    </c:plotArea>
    <c:legend>
      <c:legendPos val="b"/>
      <c:layout>
        <c:manualLayout>
          <c:xMode val="edge"/>
          <c:yMode val="edge"/>
          <c:x val="1.0672992798977057E-2"/>
          <c:y val="0.81173228346456694"/>
          <c:w val="0.97224375799178964"/>
          <c:h val="0.1604899387576554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Sheet2!$A$2</c:f>
              <c:strCache>
                <c:ptCount val="1"/>
                <c:pt idx="0">
                  <c:v>Bahrain</c:v>
                </c:pt>
              </c:strCache>
            </c:strRef>
          </c:tx>
          <c:marker>
            <c:symbol val="none"/>
          </c:marker>
          <c:dLbls>
            <c:showLegendKey val="0"/>
            <c:showVal val="1"/>
            <c:showCatName val="0"/>
            <c:showSerName val="0"/>
            <c:showPercent val="0"/>
            <c:showBubbleSize val="0"/>
            <c:showLeaderLines val="0"/>
          </c:dLbls>
          <c:cat>
            <c:numRef>
              <c:f>Sheet2!$B$1:$E$1</c:f>
              <c:numCache>
                <c:formatCode>General</c:formatCode>
                <c:ptCount val="4"/>
                <c:pt idx="0">
                  <c:v>2005</c:v>
                </c:pt>
                <c:pt idx="1">
                  <c:v>2008</c:v>
                </c:pt>
                <c:pt idx="2">
                  <c:v>2010</c:v>
                </c:pt>
                <c:pt idx="3">
                  <c:v>2012</c:v>
                </c:pt>
              </c:numCache>
            </c:numRef>
          </c:cat>
          <c:val>
            <c:numRef>
              <c:f>Sheet2!$B$2:$E$2</c:f>
              <c:numCache>
                <c:formatCode>General</c:formatCode>
                <c:ptCount val="4"/>
                <c:pt idx="0">
                  <c:v>10.5</c:v>
                </c:pt>
                <c:pt idx="1">
                  <c:v>10.6</c:v>
                </c:pt>
                <c:pt idx="2">
                  <c:v>10.7</c:v>
                </c:pt>
                <c:pt idx="3">
                  <c:v>9.6</c:v>
                </c:pt>
              </c:numCache>
            </c:numRef>
          </c:val>
          <c:smooth val="0"/>
        </c:ser>
        <c:ser>
          <c:idx val="0"/>
          <c:order val="1"/>
          <c:tx>
            <c:strRef>
              <c:f>Sheet2!$A$3</c:f>
              <c:strCache>
                <c:ptCount val="1"/>
                <c:pt idx="0">
                  <c:v>USA </c:v>
                </c:pt>
              </c:strCache>
            </c:strRef>
          </c:tx>
          <c:marker>
            <c:symbol val="none"/>
          </c:marker>
          <c:dLbls>
            <c:showLegendKey val="0"/>
            <c:showVal val="1"/>
            <c:showCatName val="0"/>
            <c:showSerName val="0"/>
            <c:showPercent val="0"/>
            <c:showBubbleSize val="0"/>
            <c:showLeaderLines val="0"/>
          </c:dLbls>
          <c:cat>
            <c:numRef>
              <c:f>Sheet2!$B$1:$E$1</c:f>
              <c:numCache>
                <c:formatCode>General</c:formatCode>
                <c:ptCount val="4"/>
                <c:pt idx="0">
                  <c:v>2005</c:v>
                </c:pt>
                <c:pt idx="1">
                  <c:v>2008</c:v>
                </c:pt>
                <c:pt idx="2">
                  <c:v>2010</c:v>
                </c:pt>
                <c:pt idx="3">
                  <c:v>2012</c:v>
                </c:pt>
              </c:numCache>
            </c:numRef>
          </c:cat>
          <c:val>
            <c:numRef>
              <c:f>Sheet2!$B$3:$E$3</c:f>
              <c:numCache>
                <c:formatCode>General</c:formatCode>
                <c:ptCount val="4"/>
                <c:pt idx="0">
                  <c:v>7.8</c:v>
                </c:pt>
                <c:pt idx="1">
                  <c:v>7.5</c:v>
                </c:pt>
                <c:pt idx="2">
                  <c:v>7</c:v>
                </c:pt>
                <c:pt idx="3">
                  <c:v>6.6</c:v>
                </c:pt>
              </c:numCache>
            </c:numRef>
          </c:val>
          <c:smooth val="0"/>
        </c:ser>
        <c:ser>
          <c:idx val="3"/>
          <c:order val="2"/>
          <c:tx>
            <c:strRef>
              <c:f>Sheet2!$A$4</c:f>
              <c:strCache>
                <c:ptCount val="1"/>
              </c:strCache>
            </c:strRef>
          </c:tx>
          <c:marker>
            <c:symbol val="none"/>
          </c:marker>
          <c:cat>
            <c:numRef>
              <c:f>Sheet2!$B$1:$E$1</c:f>
              <c:numCache>
                <c:formatCode>General</c:formatCode>
                <c:ptCount val="4"/>
                <c:pt idx="0">
                  <c:v>2005</c:v>
                </c:pt>
                <c:pt idx="1">
                  <c:v>2008</c:v>
                </c:pt>
                <c:pt idx="2">
                  <c:v>2010</c:v>
                </c:pt>
                <c:pt idx="3">
                  <c:v>2012</c:v>
                </c:pt>
              </c:numCache>
            </c:numRef>
          </c:cat>
          <c:val>
            <c:numRef>
              <c:f>Sheet2!$B$4:$C$4</c:f>
              <c:numCache>
                <c:formatCode>General</c:formatCode>
                <c:ptCount val="2"/>
              </c:numCache>
            </c:numRef>
          </c:val>
          <c:smooth val="0"/>
        </c:ser>
        <c:ser>
          <c:idx val="2"/>
          <c:order val="3"/>
          <c:tx>
            <c:strRef>
              <c:f>Sheet2!$A$5</c:f>
              <c:strCache>
                <c:ptCount val="1"/>
              </c:strCache>
            </c:strRef>
          </c:tx>
          <c:marker>
            <c:symbol val="none"/>
          </c:marker>
          <c:cat>
            <c:numRef>
              <c:f>Sheet2!$B$1:$E$1</c:f>
              <c:numCache>
                <c:formatCode>General</c:formatCode>
                <c:ptCount val="4"/>
                <c:pt idx="0">
                  <c:v>2005</c:v>
                </c:pt>
                <c:pt idx="1">
                  <c:v>2008</c:v>
                </c:pt>
                <c:pt idx="2">
                  <c:v>2010</c:v>
                </c:pt>
                <c:pt idx="3">
                  <c:v>2012</c:v>
                </c:pt>
              </c:numCache>
            </c:numRef>
          </c:cat>
          <c:val>
            <c:numRef>
              <c:f>Sheet2!$B$5:$E$5</c:f>
              <c:numCache>
                <c:formatCode>General</c:formatCode>
                <c:ptCount val="4"/>
              </c:numCache>
            </c:numRef>
          </c:val>
          <c:smooth val="0"/>
        </c:ser>
        <c:dLbls>
          <c:showLegendKey val="0"/>
          <c:showVal val="0"/>
          <c:showCatName val="0"/>
          <c:showSerName val="0"/>
          <c:showPercent val="0"/>
          <c:showBubbleSize val="0"/>
        </c:dLbls>
        <c:marker val="1"/>
        <c:smooth val="0"/>
        <c:axId val="108284928"/>
        <c:axId val="108286720"/>
      </c:lineChart>
      <c:catAx>
        <c:axId val="108284928"/>
        <c:scaling>
          <c:orientation val="minMax"/>
        </c:scaling>
        <c:delete val="0"/>
        <c:axPos val="b"/>
        <c:numFmt formatCode="General" sourceLinked="1"/>
        <c:majorTickMark val="out"/>
        <c:minorTickMark val="none"/>
        <c:tickLblPos val="nextTo"/>
        <c:crossAx val="108286720"/>
        <c:crosses val="autoZero"/>
        <c:auto val="1"/>
        <c:lblAlgn val="ctr"/>
        <c:lblOffset val="100"/>
        <c:noMultiLvlLbl val="0"/>
      </c:catAx>
      <c:valAx>
        <c:axId val="108286720"/>
        <c:scaling>
          <c:orientation val="minMax"/>
          <c:min val="5"/>
        </c:scaling>
        <c:delete val="0"/>
        <c:axPos val="l"/>
        <c:title>
          <c:tx>
            <c:rich>
              <a:bodyPr rot="-5400000" vert="horz"/>
              <a:lstStyle/>
              <a:p>
                <a:pPr>
                  <a:defRPr/>
                </a:pPr>
                <a:r>
                  <a:rPr lang="en-US"/>
                  <a:t>L/100 km</a:t>
                </a:r>
                <a:r>
                  <a:rPr lang="en-US" baseline="0"/>
                  <a:t> (CAFE)</a:t>
                </a:r>
                <a:endParaRPr lang="en-US"/>
              </a:p>
            </c:rich>
          </c:tx>
          <c:overlay val="0"/>
        </c:title>
        <c:numFmt formatCode="General" sourceLinked="1"/>
        <c:majorTickMark val="out"/>
        <c:minorTickMark val="none"/>
        <c:tickLblPos val="nextTo"/>
        <c:crossAx val="108284928"/>
        <c:crosses val="autoZero"/>
        <c:crossBetween val="between"/>
      </c:valAx>
    </c:plotArea>
    <c:legend>
      <c:legendPos val="b"/>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Sheet2!$B$12</c:f>
              <c:strCache>
                <c:ptCount val="1"/>
                <c:pt idx="0">
                  <c:v>Bahrain</c:v>
                </c:pt>
              </c:strCache>
            </c:strRef>
          </c:tx>
          <c:marker>
            <c:symbol val="none"/>
          </c:marker>
          <c:dLbls>
            <c:showLegendKey val="0"/>
            <c:showVal val="1"/>
            <c:showCatName val="0"/>
            <c:showSerName val="0"/>
            <c:showPercent val="0"/>
            <c:showBubbleSize val="0"/>
            <c:showLeaderLines val="0"/>
          </c:dLbls>
          <c:cat>
            <c:numRef>
              <c:f>Sheet2!$A$13:$A$16</c:f>
              <c:numCache>
                <c:formatCode>General</c:formatCode>
                <c:ptCount val="4"/>
                <c:pt idx="0">
                  <c:v>2005</c:v>
                </c:pt>
                <c:pt idx="1">
                  <c:v>2008</c:v>
                </c:pt>
                <c:pt idx="2">
                  <c:v>2010</c:v>
                </c:pt>
                <c:pt idx="3">
                  <c:v>2012</c:v>
                </c:pt>
              </c:numCache>
            </c:numRef>
          </c:cat>
          <c:val>
            <c:numRef>
              <c:f>Sheet2!$B$13:$B$16</c:f>
              <c:numCache>
                <c:formatCode>General</c:formatCode>
                <c:ptCount val="4"/>
                <c:pt idx="0">
                  <c:v>12.1</c:v>
                </c:pt>
                <c:pt idx="1">
                  <c:v>12.2</c:v>
                </c:pt>
                <c:pt idx="2">
                  <c:v>12.2</c:v>
                </c:pt>
                <c:pt idx="3">
                  <c:v>11.1</c:v>
                </c:pt>
              </c:numCache>
            </c:numRef>
          </c:val>
          <c:smooth val="0"/>
        </c:ser>
        <c:ser>
          <c:idx val="2"/>
          <c:order val="1"/>
          <c:tx>
            <c:strRef>
              <c:f>Sheet2!$D$12</c:f>
              <c:strCache>
                <c:ptCount val="1"/>
                <c:pt idx="0">
                  <c:v>OECD</c:v>
                </c:pt>
              </c:strCache>
            </c:strRef>
          </c:tx>
          <c:marker>
            <c:symbol val="none"/>
          </c:marker>
          <c:dLbls>
            <c:showLegendKey val="0"/>
            <c:showVal val="1"/>
            <c:showCatName val="0"/>
            <c:showSerName val="0"/>
            <c:showPercent val="0"/>
            <c:showBubbleSize val="0"/>
            <c:showLeaderLines val="0"/>
          </c:dLbls>
          <c:cat>
            <c:numRef>
              <c:f>Sheet2!$A$13:$A$16</c:f>
              <c:numCache>
                <c:formatCode>General</c:formatCode>
                <c:ptCount val="4"/>
                <c:pt idx="0">
                  <c:v>2005</c:v>
                </c:pt>
                <c:pt idx="1">
                  <c:v>2008</c:v>
                </c:pt>
                <c:pt idx="2">
                  <c:v>2010</c:v>
                </c:pt>
                <c:pt idx="3">
                  <c:v>2012</c:v>
                </c:pt>
              </c:numCache>
            </c:numRef>
          </c:cat>
          <c:val>
            <c:numRef>
              <c:f>Sheet2!$D$13:$D$16</c:f>
              <c:numCache>
                <c:formatCode>General</c:formatCode>
                <c:ptCount val="4"/>
                <c:pt idx="0">
                  <c:v>8.1</c:v>
                </c:pt>
                <c:pt idx="1">
                  <c:v>7.6</c:v>
                </c:pt>
              </c:numCache>
            </c:numRef>
          </c:val>
          <c:smooth val="0"/>
        </c:ser>
        <c:ser>
          <c:idx val="1"/>
          <c:order val="2"/>
          <c:tx>
            <c:strRef>
              <c:f>Sheet2!$C$12</c:f>
              <c:strCache>
                <c:ptCount val="1"/>
                <c:pt idx="0">
                  <c:v>Non-OECD</c:v>
                </c:pt>
              </c:strCache>
            </c:strRef>
          </c:tx>
          <c:marker>
            <c:symbol val="none"/>
          </c:marker>
          <c:dLbls>
            <c:showLegendKey val="0"/>
            <c:showVal val="1"/>
            <c:showCatName val="0"/>
            <c:showSerName val="0"/>
            <c:showPercent val="0"/>
            <c:showBubbleSize val="0"/>
            <c:showLeaderLines val="0"/>
          </c:dLbls>
          <c:cat>
            <c:numRef>
              <c:f>Sheet2!$A$13:$A$16</c:f>
              <c:numCache>
                <c:formatCode>General</c:formatCode>
                <c:ptCount val="4"/>
                <c:pt idx="0">
                  <c:v>2005</c:v>
                </c:pt>
                <c:pt idx="1">
                  <c:v>2008</c:v>
                </c:pt>
                <c:pt idx="2">
                  <c:v>2010</c:v>
                </c:pt>
                <c:pt idx="3">
                  <c:v>2012</c:v>
                </c:pt>
              </c:numCache>
            </c:numRef>
          </c:cat>
          <c:val>
            <c:numRef>
              <c:f>Sheet2!$C$13:$C$16</c:f>
              <c:numCache>
                <c:formatCode>General</c:formatCode>
                <c:ptCount val="4"/>
                <c:pt idx="0">
                  <c:v>7.5</c:v>
                </c:pt>
                <c:pt idx="1">
                  <c:v>7.6</c:v>
                </c:pt>
              </c:numCache>
            </c:numRef>
          </c:val>
          <c:smooth val="0"/>
        </c:ser>
        <c:dLbls>
          <c:showLegendKey val="0"/>
          <c:showVal val="0"/>
          <c:showCatName val="0"/>
          <c:showSerName val="0"/>
          <c:showPercent val="0"/>
          <c:showBubbleSize val="0"/>
        </c:dLbls>
        <c:marker val="1"/>
        <c:smooth val="0"/>
        <c:axId val="109056384"/>
        <c:axId val="109057920"/>
      </c:lineChart>
      <c:catAx>
        <c:axId val="109056384"/>
        <c:scaling>
          <c:orientation val="minMax"/>
        </c:scaling>
        <c:delete val="0"/>
        <c:axPos val="b"/>
        <c:numFmt formatCode="General" sourceLinked="1"/>
        <c:majorTickMark val="out"/>
        <c:minorTickMark val="none"/>
        <c:tickLblPos val="nextTo"/>
        <c:crossAx val="109057920"/>
        <c:crosses val="autoZero"/>
        <c:auto val="1"/>
        <c:lblAlgn val="ctr"/>
        <c:lblOffset val="100"/>
        <c:noMultiLvlLbl val="0"/>
      </c:catAx>
      <c:valAx>
        <c:axId val="109057920"/>
        <c:scaling>
          <c:orientation val="minMax"/>
        </c:scaling>
        <c:delete val="0"/>
        <c:axPos val="l"/>
        <c:title>
          <c:tx>
            <c:rich>
              <a:bodyPr rot="-5400000" vert="horz"/>
              <a:lstStyle/>
              <a:p>
                <a:pPr>
                  <a:defRPr/>
                </a:pPr>
                <a:r>
                  <a:rPr lang="en-US"/>
                  <a:t>L/100 km (NEDC)</a:t>
                </a:r>
              </a:p>
            </c:rich>
          </c:tx>
          <c:overlay val="0"/>
        </c:title>
        <c:numFmt formatCode="General" sourceLinked="1"/>
        <c:majorTickMark val="out"/>
        <c:minorTickMark val="none"/>
        <c:tickLblPos val="nextTo"/>
        <c:crossAx val="109056384"/>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Sheet3!$A$3</c:f>
              <c:strCache>
                <c:ptCount val="1"/>
                <c:pt idx="0">
                  <c:v>Bahrain</c:v>
                </c:pt>
              </c:strCache>
            </c:strRef>
          </c:tx>
          <c:marker>
            <c:symbol val="none"/>
          </c:marker>
          <c:dLbls>
            <c:showLegendKey val="0"/>
            <c:showVal val="1"/>
            <c:showCatName val="0"/>
            <c:showSerName val="0"/>
            <c:showPercent val="0"/>
            <c:showBubbleSize val="0"/>
            <c:showLeaderLines val="0"/>
          </c:dLbls>
          <c:cat>
            <c:numRef>
              <c:f>Sheet3!$B$1:$E$1</c:f>
              <c:numCache>
                <c:formatCode>General</c:formatCode>
                <c:ptCount val="4"/>
                <c:pt idx="0">
                  <c:v>2005</c:v>
                </c:pt>
                <c:pt idx="1">
                  <c:v>2008</c:v>
                </c:pt>
                <c:pt idx="2">
                  <c:v>2010</c:v>
                </c:pt>
                <c:pt idx="3">
                  <c:v>2012</c:v>
                </c:pt>
              </c:numCache>
            </c:numRef>
          </c:cat>
          <c:val>
            <c:numRef>
              <c:f>Sheet3!$B$3:$E$3</c:f>
              <c:numCache>
                <c:formatCode>General</c:formatCode>
                <c:ptCount val="4"/>
                <c:pt idx="0">
                  <c:v>248.5</c:v>
                </c:pt>
                <c:pt idx="1">
                  <c:v>250.4</c:v>
                </c:pt>
                <c:pt idx="2">
                  <c:v>252.4</c:v>
                </c:pt>
                <c:pt idx="3">
                  <c:v>230.9</c:v>
                </c:pt>
              </c:numCache>
            </c:numRef>
          </c:val>
          <c:smooth val="0"/>
        </c:ser>
        <c:ser>
          <c:idx val="0"/>
          <c:order val="1"/>
          <c:tx>
            <c:strRef>
              <c:f>Sheet3!$A$2</c:f>
              <c:strCache>
                <c:ptCount val="1"/>
                <c:pt idx="0">
                  <c:v>EU</c:v>
                </c:pt>
              </c:strCache>
            </c:strRef>
          </c:tx>
          <c:marker>
            <c:symbol val="none"/>
          </c:marker>
          <c:dLbls>
            <c:showLegendKey val="0"/>
            <c:showVal val="1"/>
            <c:showCatName val="0"/>
            <c:showSerName val="0"/>
            <c:showPercent val="0"/>
            <c:showBubbleSize val="0"/>
            <c:showLeaderLines val="0"/>
          </c:dLbls>
          <c:cat>
            <c:numRef>
              <c:f>Sheet3!$B$1:$E$1</c:f>
              <c:numCache>
                <c:formatCode>General</c:formatCode>
                <c:ptCount val="4"/>
                <c:pt idx="0">
                  <c:v>2005</c:v>
                </c:pt>
                <c:pt idx="1">
                  <c:v>2008</c:v>
                </c:pt>
                <c:pt idx="2">
                  <c:v>2010</c:v>
                </c:pt>
                <c:pt idx="3">
                  <c:v>2012</c:v>
                </c:pt>
              </c:numCache>
            </c:numRef>
          </c:cat>
          <c:val>
            <c:numRef>
              <c:f>Sheet3!$B$2:$E$2</c:f>
              <c:numCache>
                <c:formatCode>General</c:formatCode>
                <c:ptCount val="4"/>
                <c:pt idx="0">
                  <c:v>162.4</c:v>
                </c:pt>
                <c:pt idx="1">
                  <c:v>153.6</c:v>
                </c:pt>
                <c:pt idx="2">
                  <c:v>140.30000000000001</c:v>
                </c:pt>
              </c:numCache>
            </c:numRef>
          </c:val>
          <c:smooth val="0"/>
        </c:ser>
        <c:dLbls>
          <c:showLegendKey val="0"/>
          <c:showVal val="0"/>
          <c:showCatName val="0"/>
          <c:showSerName val="0"/>
          <c:showPercent val="0"/>
          <c:showBubbleSize val="0"/>
        </c:dLbls>
        <c:marker val="1"/>
        <c:smooth val="0"/>
        <c:axId val="109071360"/>
        <c:axId val="109089536"/>
      </c:lineChart>
      <c:catAx>
        <c:axId val="109071360"/>
        <c:scaling>
          <c:orientation val="minMax"/>
        </c:scaling>
        <c:delete val="0"/>
        <c:axPos val="b"/>
        <c:numFmt formatCode="General" sourceLinked="1"/>
        <c:majorTickMark val="out"/>
        <c:minorTickMark val="none"/>
        <c:tickLblPos val="nextTo"/>
        <c:crossAx val="109089536"/>
        <c:crosses val="autoZero"/>
        <c:auto val="1"/>
        <c:lblAlgn val="ctr"/>
        <c:lblOffset val="100"/>
        <c:noMultiLvlLbl val="0"/>
      </c:catAx>
      <c:valAx>
        <c:axId val="109089536"/>
        <c:scaling>
          <c:orientation val="minMax"/>
          <c:min val="0"/>
        </c:scaling>
        <c:delete val="0"/>
        <c:axPos val="l"/>
        <c:title>
          <c:tx>
            <c:rich>
              <a:bodyPr rot="-5400000" vert="horz"/>
              <a:lstStyle/>
              <a:p>
                <a:pPr>
                  <a:defRPr/>
                </a:pPr>
                <a:r>
                  <a:rPr lang="en-US"/>
                  <a:t>g CO2/km</a:t>
                </a:r>
              </a:p>
            </c:rich>
          </c:tx>
          <c:overlay val="0"/>
        </c:title>
        <c:numFmt formatCode="General" sourceLinked="1"/>
        <c:majorTickMark val="out"/>
        <c:minorTickMark val="none"/>
        <c:tickLblPos val="nextTo"/>
        <c:crossAx val="109071360"/>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strRef>
              <c:f>Sheet4!$C$1</c:f>
              <c:strCache>
                <c:ptCount val="1"/>
                <c:pt idx="0">
                  <c:v>New LDVs</c:v>
                </c:pt>
              </c:strCache>
            </c:strRef>
          </c:tx>
          <c:invertIfNegative val="0"/>
          <c:dLbls>
            <c:showLegendKey val="0"/>
            <c:showVal val="1"/>
            <c:showCatName val="0"/>
            <c:showSerName val="0"/>
            <c:showPercent val="0"/>
            <c:showBubbleSize val="0"/>
            <c:showLeaderLines val="0"/>
          </c:dLbls>
          <c:cat>
            <c:numRef>
              <c:f>Sheet4!$A$7:$A$10</c:f>
              <c:numCache>
                <c:formatCode>General</c:formatCode>
                <c:ptCount val="4"/>
                <c:pt idx="0">
                  <c:v>2005</c:v>
                </c:pt>
                <c:pt idx="1">
                  <c:v>2008</c:v>
                </c:pt>
                <c:pt idx="2">
                  <c:v>2010</c:v>
                </c:pt>
                <c:pt idx="3">
                  <c:v>2012</c:v>
                </c:pt>
              </c:numCache>
            </c:numRef>
          </c:cat>
          <c:val>
            <c:numRef>
              <c:f>Sheet4!$C$7:$C$10</c:f>
              <c:numCache>
                <c:formatCode>General</c:formatCode>
                <c:ptCount val="4"/>
                <c:pt idx="0">
                  <c:v>25019</c:v>
                </c:pt>
                <c:pt idx="1">
                  <c:v>32229</c:v>
                </c:pt>
                <c:pt idx="2">
                  <c:v>20479</c:v>
                </c:pt>
                <c:pt idx="3">
                  <c:v>28552</c:v>
                </c:pt>
              </c:numCache>
            </c:numRef>
          </c:val>
        </c:ser>
        <c:ser>
          <c:idx val="0"/>
          <c:order val="1"/>
          <c:tx>
            <c:strRef>
              <c:f>Sheet4!$B$1</c:f>
              <c:strCache>
                <c:ptCount val="1"/>
                <c:pt idx="0">
                  <c:v>Other types</c:v>
                </c:pt>
              </c:strCache>
            </c:strRef>
          </c:tx>
          <c:invertIfNegative val="0"/>
          <c:cat>
            <c:numRef>
              <c:f>Sheet4!$A$7:$A$10</c:f>
              <c:numCache>
                <c:formatCode>General</c:formatCode>
                <c:ptCount val="4"/>
                <c:pt idx="0">
                  <c:v>2005</c:v>
                </c:pt>
                <c:pt idx="1">
                  <c:v>2008</c:v>
                </c:pt>
                <c:pt idx="2">
                  <c:v>2010</c:v>
                </c:pt>
                <c:pt idx="3">
                  <c:v>2012</c:v>
                </c:pt>
              </c:numCache>
            </c:numRef>
          </c:cat>
          <c:val>
            <c:numRef>
              <c:f>Sheet4!$B$7:$B$10</c:f>
              <c:numCache>
                <c:formatCode>General</c:formatCode>
                <c:ptCount val="4"/>
                <c:pt idx="0">
                  <c:v>4376</c:v>
                </c:pt>
                <c:pt idx="1">
                  <c:v>8166</c:v>
                </c:pt>
                <c:pt idx="2">
                  <c:v>4460</c:v>
                </c:pt>
                <c:pt idx="3">
                  <c:v>6667</c:v>
                </c:pt>
              </c:numCache>
            </c:numRef>
          </c:val>
        </c:ser>
        <c:dLbls>
          <c:showLegendKey val="0"/>
          <c:showVal val="0"/>
          <c:showCatName val="0"/>
          <c:showSerName val="0"/>
          <c:showPercent val="0"/>
          <c:showBubbleSize val="0"/>
        </c:dLbls>
        <c:gapWidth val="150"/>
        <c:overlap val="100"/>
        <c:axId val="109107072"/>
        <c:axId val="109108608"/>
      </c:barChart>
      <c:catAx>
        <c:axId val="109107072"/>
        <c:scaling>
          <c:orientation val="minMax"/>
        </c:scaling>
        <c:delete val="0"/>
        <c:axPos val="b"/>
        <c:numFmt formatCode="General" sourceLinked="1"/>
        <c:majorTickMark val="out"/>
        <c:minorTickMark val="none"/>
        <c:tickLblPos val="nextTo"/>
        <c:crossAx val="109108608"/>
        <c:crosses val="autoZero"/>
        <c:auto val="1"/>
        <c:lblAlgn val="ctr"/>
        <c:lblOffset val="100"/>
        <c:noMultiLvlLbl val="0"/>
      </c:catAx>
      <c:valAx>
        <c:axId val="109108608"/>
        <c:scaling>
          <c:orientation val="minMax"/>
        </c:scaling>
        <c:delete val="0"/>
        <c:axPos val="l"/>
        <c:numFmt formatCode="General" sourceLinked="1"/>
        <c:majorTickMark val="out"/>
        <c:minorTickMark val="none"/>
        <c:tickLblPos val="nextTo"/>
        <c:crossAx val="109107072"/>
        <c:crosses val="autoZero"/>
        <c:crossBetween val="between"/>
        <c:dispUnits>
          <c:builtInUnit val="thousands"/>
          <c:dispUnitsLbl>
            <c:tx>
              <c:rich>
                <a:bodyPr/>
                <a:lstStyle/>
                <a:p>
                  <a:pPr>
                    <a:defRPr/>
                  </a:pPr>
                  <a:r>
                    <a:rPr lang="en-US"/>
                    <a:t>Thousand vehicles</a:t>
                  </a:r>
                </a:p>
              </c:rich>
            </c:tx>
          </c:dispUnitsLbl>
        </c:dispUnits>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C64A-A29B-4CAD-8193-A675F464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4805</Words>
  <Characters>27392</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mahamw</dc:creator>
  <cp:lastModifiedBy>bimo</cp:lastModifiedBy>
  <cp:revision>2</cp:revision>
  <dcterms:created xsi:type="dcterms:W3CDTF">2014-12-07T12:54:00Z</dcterms:created>
  <dcterms:modified xsi:type="dcterms:W3CDTF">2014-12-07T12:54:00Z</dcterms:modified>
</cp:coreProperties>
</file>