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8"/>
        <w:gridCol w:w="1519"/>
      </w:tblGrid>
      <w:tr w:rsidR="00792E8C" w14:paraId="1066E99D" w14:textId="77777777" w:rsidTr="00792E8C">
        <w:tc>
          <w:tcPr>
            <w:tcW w:w="4248" w:type="pct"/>
          </w:tcPr>
          <w:p w14:paraId="172F1252" w14:textId="77777777" w:rsidR="00792E8C" w:rsidRDefault="00792E8C" w:rsidP="00792E8C">
            <w:pPr>
              <w:jc w:val="center"/>
              <w:rPr>
                <w:rFonts w:asciiTheme="majorBidi" w:hAnsiTheme="majorBidi" w:cstheme="majorBidi"/>
                <w:b/>
                <w:bCs/>
                <w:sz w:val="24"/>
                <w:szCs w:val="24"/>
              </w:rPr>
            </w:pPr>
            <w:bookmarkStart w:id="0" w:name="_GoBack"/>
            <w:bookmarkEnd w:id="0"/>
            <w:r>
              <w:rPr>
                <w:rFonts w:asciiTheme="majorBidi" w:hAnsiTheme="majorBidi" w:cstheme="majorBidi"/>
                <w:b/>
                <w:bCs/>
                <w:noProof/>
                <w:sz w:val="24"/>
                <w:szCs w:val="24"/>
              </w:rPr>
              <w:drawing>
                <wp:inline distT="0" distB="0" distL="0" distR="0" wp14:anchorId="5EE64B3F" wp14:editId="43E1A47A">
                  <wp:extent cx="5029200" cy="1205196"/>
                  <wp:effectExtent l="0" t="0" r="0" b="0"/>
                  <wp:docPr id="2" name="Picture 2" descr="cid:_1_16E9392816E936BC004609BE43257D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id:_1_16E9392816E936BC004609BE43257D6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29200" cy="1205196"/>
                          </a:xfrm>
                          <a:prstGeom prst="rect">
                            <a:avLst/>
                          </a:prstGeom>
                          <a:noFill/>
                          <a:ln>
                            <a:noFill/>
                          </a:ln>
                        </pic:spPr>
                      </pic:pic>
                    </a:graphicData>
                  </a:graphic>
                </wp:inline>
              </w:drawing>
            </w:r>
          </w:p>
        </w:tc>
        <w:tc>
          <w:tcPr>
            <w:tcW w:w="752" w:type="pct"/>
            <w:vAlign w:val="center"/>
          </w:tcPr>
          <w:p w14:paraId="03DE8C84" w14:textId="77777777" w:rsidR="00792E8C" w:rsidRDefault="00792E8C" w:rsidP="00792E8C">
            <w:pPr>
              <w:jc w:val="center"/>
              <w:rPr>
                <w:rFonts w:asciiTheme="majorBidi" w:hAnsiTheme="majorBidi" w:cstheme="majorBidi"/>
                <w:b/>
                <w:bCs/>
                <w:noProof/>
                <w:sz w:val="24"/>
                <w:szCs w:val="24"/>
              </w:rPr>
            </w:pPr>
            <w:r>
              <w:rPr>
                <w:rFonts w:asciiTheme="majorBidi" w:hAnsiTheme="majorBidi" w:cstheme="majorBidi"/>
                <w:b/>
                <w:bCs/>
                <w:noProof/>
                <w:sz w:val="24"/>
                <w:szCs w:val="24"/>
              </w:rPr>
              <w:drawing>
                <wp:inline distT="0" distB="0" distL="0" distR="0" wp14:anchorId="426FA813" wp14:editId="508FACE1">
                  <wp:extent cx="873125" cy="838835"/>
                  <wp:effectExtent l="0" t="0" r="0" b="0"/>
                  <wp:docPr id="1" name="Picture 1" descr="ced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da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3125" cy="838835"/>
                          </a:xfrm>
                          <a:prstGeom prst="rect">
                            <a:avLst/>
                          </a:prstGeom>
                          <a:noFill/>
                          <a:ln>
                            <a:noFill/>
                          </a:ln>
                        </pic:spPr>
                      </pic:pic>
                    </a:graphicData>
                  </a:graphic>
                </wp:inline>
              </w:drawing>
            </w:r>
          </w:p>
          <w:p w14:paraId="0BC14453" w14:textId="77777777" w:rsidR="00792E8C" w:rsidRPr="00792E8C" w:rsidRDefault="00792E8C" w:rsidP="00792E8C">
            <w:pPr>
              <w:jc w:val="center"/>
              <w:rPr>
                <w:rFonts w:asciiTheme="majorBidi" w:hAnsiTheme="majorBidi" w:cstheme="majorBidi"/>
                <w:sz w:val="24"/>
                <w:szCs w:val="24"/>
              </w:rPr>
            </w:pPr>
          </w:p>
        </w:tc>
      </w:tr>
    </w:tbl>
    <w:p w14:paraId="571CEE1F" w14:textId="77777777" w:rsidR="009B3EDF" w:rsidRDefault="009B3EDF" w:rsidP="00792E8C">
      <w:pPr>
        <w:jc w:val="center"/>
        <w:rPr>
          <w:rFonts w:asciiTheme="majorBidi" w:hAnsiTheme="majorBidi" w:cstheme="majorBidi"/>
          <w:b/>
          <w:bCs/>
          <w:sz w:val="24"/>
          <w:szCs w:val="24"/>
        </w:rPr>
      </w:pPr>
    </w:p>
    <w:p w14:paraId="0BE7FD0C" w14:textId="77777777" w:rsidR="009B3EDF" w:rsidRDefault="009B3EDF">
      <w:pPr>
        <w:rPr>
          <w:rFonts w:asciiTheme="majorBidi" w:hAnsiTheme="majorBidi" w:cstheme="majorBidi"/>
          <w:b/>
          <w:bCs/>
          <w:sz w:val="24"/>
          <w:szCs w:val="24"/>
        </w:rPr>
      </w:pPr>
    </w:p>
    <w:p w14:paraId="5DE36A68" w14:textId="77777777" w:rsidR="009B3EDF" w:rsidRDefault="009B3EDF">
      <w:pPr>
        <w:rPr>
          <w:rFonts w:asciiTheme="majorBidi" w:hAnsiTheme="majorBidi" w:cstheme="majorBidi"/>
          <w:b/>
          <w:bCs/>
          <w:sz w:val="24"/>
          <w:szCs w:val="24"/>
        </w:rPr>
      </w:pPr>
      <w:r>
        <w:rPr>
          <w:rFonts w:asciiTheme="majorBidi" w:hAnsiTheme="majorBidi" w:cstheme="majorBidi"/>
          <w:b/>
          <w:bCs/>
          <w:sz w:val="24"/>
          <w:szCs w:val="24"/>
        </w:rPr>
        <w:t xml:space="preserve">                                       </w:t>
      </w:r>
      <w:r w:rsidR="00792E8C">
        <w:rPr>
          <w:rFonts w:asciiTheme="majorBidi" w:hAnsiTheme="majorBidi" w:cstheme="majorBidi"/>
          <w:b/>
          <w:bCs/>
          <w:sz w:val="24"/>
          <w:szCs w:val="24"/>
        </w:rPr>
        <w:t xml:space="preserve">                      </w:t>
      </w:r>
    </w:p>
    <w:p w14:paraId="787608B2" w14:textId="77777777" w:rsidR="00792E8C" w:rsidRDefault="00792E8C" w:rsidP="00792E8C">
      <w:pPr>
        <w:rPr>
          <w:rFonts w:asciiTheme="majorBidi" w:hAnsiTheme="majorBidi" w:cstheme="majorBidi"/>
          <w:b/>
          <w:bCs/>
          <w:sz w:val="24"/>
          <w:szCs w:val="24"/>
        </w:rPr>
      </w:pPr>
    </w:p>
    <w:p w14:paraId="63388A99" w14:textId="77777777" w:rsidR="009B3EDF" w:rsidRPr="00792E8C" w:rsidRDefault="009B3EDF" w:rsidP="00792E8C">
      <w:pPr>
        <w:jc w:val="center"/>
        <w:rPr>
          <w:rFonts w:asciiTheme="majorBidi" w:hAnsiTheme="majorBidi" w:cstheme="majorBidi"/>
          <w:b/>
          <w:bCs/>
          <w:sz w:val="24"/>
          <w:szCs w:val="24"/>
        </w:rPr>
      </w:pPr>
      <w:r w:rsidRPr="009B3EDF">
        <w:rPr>
          <w:rFonts w:asciiTheme="majorBidi" w:hAnsiTheme="majorBidi" w:cstheme="majorBidi"/>
          <w:b/>
          <w:bCs/>
          <w:sz w:val="40"/>
          <w:szCs w:val="40"/>
        </w:rPr>
        <w:t>Fuel Consumption/Economy Trends in LAS countries:</w:t>
      </w:r>
    </w:p>
    <w:p w14:paraId="0B2A0C31" w14:textId="77777777" w:rsidR="00EC2DDE" w:rsidRPr="009B3EDF" w:rsidRDefault="00EC2DDE" w:rsidP="00792E8C">
      <w:pPr>
        <w:tabs>
          <w:tab w:val="left" w:pos="2858"/>
          <w:tab w:val="center" w:pos="4680"/>
        </w:tabs>
        <w:jc w:val="center"/>
        <w:rPr>
          <w:rFonts w:asciiTheme="majorBidi" w:hAnsiTheme="majorBidi" w:cstheme="majorBidi"/>
          <w:b/>
          <w:bCs/>
          <w:sz w:val="40"/>
          <w:szCs w:val="40"/>
        </w:rPr>
      </w:pPr>
      <w:r>
        <w:rPr>
          <w:rFonts w:asciiTheme="majorBidi" w:hAnsiTheme="majorBidi" w:cstheme="majorBidi"/>
          <w:b/>
          <w:bCs/>
          <w:sz w:val="28"/>
          <w:szCs w:val="28"/>
        </w:rPr>
        <w:t>The Tunisian Case Study</w:t>
      </w:r>
    </w:p>
    <w:p w14:paraId="672269E6" w14:textId="77777777" w:rsidR="009B3EDF" w:rsidRDefault="009B3EDF" w:rsidP="009B3EDF">
      <w:pPr>
        <w:rPr>
          <w:rFonts w:asciiTheme="majorBidi" w:hAnsiTheme="majorBidi" w:cstheme="majorBidi"/>
          <w:b/>
          <w:bCs/>
          <w:sz w:val="24"/>
          <w:szCs w:val="24"/>
        </w:rPr>
      </w:pPr>
      <w:r>
        <w:rPr>
          <w:rFonts w:asciiTheme="majorBidi" w:hAnsiTheme="majorBidi" w:cstheme="majorBidi"/>
          <w:b/>
          <w:bCs/>
          <w:sz w:val="24"/>
          <w:szCs w:val="24"/>
        </w:rPr>
        <w:t xml:space="preserve">                                                       </w:t>
      </w:r>
    </w:p>
    <w:p w14:paraId="2E457BF1" w14:textId="77777777" w:rsidR="009B3EDF" w:rsidRDefault="009B3EDF" w:rsidP="00792E8C">
      <w:pPr>
        <w:jc w:val="center"/>
        <w:rPr>
          <w:rFonts w:asciiTheme="majorBidi" w:hAnsiTheme="majorBidi" w:cstheme="majorBidi"/>
          <w:b/>
          <w:bCs/>
          <w:sz w:val="24"/>
          <w:szCs w:val="24"/>
        </w:rPr>
      </w:pPr>
      <w:r>
        <w:rPr>
          <w:rFonts w:asciiTheme="majorBidi" w:hAnsiTheme="majorBidi" w:cstheme="majorBidi"/>
          <w:b/>
          <w:bCs/>
          <w:sz w:val="24"/>
          <w:szCs w:val="24"/>
        </w:rPr>
        <w:t>Author</w:t>
      </w:r>
    </w:p>
    <w:p w14:paraId="3AB088CB" w14:textId="77777777" w:rsidR="009B3EDF" w:rsidRPr="009B3EDF" w:rsidRDefault="009B3EDF" w:rsidP="00792E8C">
      <w:pPr>
        <w:jc w:val="center"/>
        <w:rPr>
          <w:rFonts w:asciiTheme="majorBidi" w:hAnsiTheme="majorBidi" w:cstheme="majorBidi"/>
          <w:sz w:val="24"/>
          <w:szCs w:val="24"/>
        </w:rPr>
      </w:pPr>
      <w:r w:rsidRPr="009B3EDF">
        <w:rPr>
          <w:rFonts w:asciiTheme="majorBidi" w:hAnsiTheme="majorBidi" w:cstheme="majorBidi"/>
          <w:sz w:val="24"/>
          <w:szCs w:val="24"/>
        </w:rPr>
        <w:t>Amr El-Abyad</w:t>
      </w:r>
    </w:p>
    <w:p w14:paraId="217CAF16" w14:textId="77777777" w:rsidR="009B3EDF" w:rsidRDefault="009B3EDF" w:rsidP="00792E8C">
      <w:pPr>
        <w:jc w:val="center"/>
        <w:rPr>
          <w:rFonts w:asciiTheme="majorBidi" w:hAnsiTheme="majorBidi" w:cstheme="majorBidi"/>
          <w:b/>
          <w:bCs/>
          <w:sz w:val="24"/>
          <w:szCs w:val="24"/>
        </w:rPr>
      </w:pPr>
      <w:r>
        <w:rPr>
          <w:rFonts w:asciiTheme="majorBidi" w:hAnsiTheme="majorBidi" w:cstheme="majorBidi"/>
          <w:b/>
          <w:bCs/>
          <w:sz w:val="24"/>
          <w:szCs w:val="24"/>
        </w:rPr>
        <w:t>Contributors</w:t>
      </w:r>
    </w:p>
    <w:p w14:paraId="4755A294" w14:textId="77777777" w:rsidR="009B3EDF" w:rsidRPr="009B3EDF" w:rsidRDefault="009B3EDF" w:rsidP="00792E8C">
      <w:pPr>
        <w:jc w:val="center"/>
        <w:rPr>
          <w:rFonts w:asciiTheme="majorBidi" w:hAnsiTheme="majorBidi" w:cstheme="majorBidi"/>
          <w:sz w:val="24"/>
          <w:szCs w:val="24"/>
        </w:rPr>
      </w:pPr>
      <w:r w:rsidRPr="009B3EDF">
        <w:rPr>
          <w:rFonts w:asciiTheme="majorBidi" w:hAnsiTheme="majorBidi" w:cstheme="majorBidi"/>
          <w:sz w:val="24"/>
          <w:szCs w:val="24"/>
        </w:rPr>
        <w:t>Hossam Allam</w:t>
      </w:r>
    </w:p>
    <w:p w14:paraId="3B4ADB76" w14:textId="77777777" w:rsidR="009B3EDF" w:rsidRDefault="009B3EDF" w:rsidP="00792E8C">
      <w:pPr>
        <w:jc w:val="center"/>
        <w:rPr>
          <w:rFonts w:asciiTheme="majorBidi" w:hAnsiTheme="majorBidi" w:cstheme="majorBidi"/>
          <w:sz w:val="24"/>
          <w:szCs w:val="24"/>
        </w:rPr>
      </w:pPr>
      <w:r w:rsidRPr="009B3EDF">
        <w:rPr>
          <w:rFonts w:asciiTheme="majorBidi" w:hAnsiTheme="majorBidi" w:cstheme="majorBidi"/>
          <w:sz w:val="24"/>
          <w:szCs w:val="24"/>
        </w:rPr>
        <w:t>Matthias Gasnier</w:t>
      </w:r>
    </w:p>
    <w:p w14:paraId="41D21396" w14:textId="77777777" w:rsidR="009B3EDF" w:rsidRPr="009B3EDF" w:rsidRDefault="009B3EDF">
      <w:pPr>
        <w:rPr>
          <w:rFonts w:asciiTheme="majorBidi" w:hAnsiTheme="majorBidi" w:cstheme="majorBidi"/>
          <w:b/>
          <w:bCs/>
          <w:sz w:val="28"/>
          <w:szCs w:val="28"/>
        </w:rPr>
      </w:pPr>
    </w:p>
    <w:p w14:paraId="3346338A" w14:textId="77777777" w:rsidR="00792E8C" w:rsidRDefault="009B3EDF">
      <w:pPr>
        <w:rPr>
          <w:rFonts w:asciiTheme="majorBidi" w:hAnsiTheme="majorBidi" w:cstheme="majorBidi"/>
          <w:b/>
          <w:bCs/>
          <w:sz w:val="28"/>
          <w:szCs w:val="28"/>
        </w:rPr>
      </w:pPr>
      <w:r w:rsidRPr="009B3EDF">
        <w:rPr>
          <w:rFonts w:asciiTheme="majorBidi" w:hAnsiTheme="majorBidi" w:cstheme="majorBidi"/>
          <w:b/>
          <w:bCs/>
          <w:sz w:val="28"/>
          <w:szCs w:val="28"/>
        </w:rPr>
        <w:t xml:space="preserve">Center for Environment and Development </w:t>
      </w:r>
      <w:r>
        <w:rPr>
          <w:rFonts w:asciiTheme="majorBidi" w:hAnsiTheme="majorBidi" w:cstheme="majorBidi"/>
          <w:b/>
          <w:bCs/>
          <w:sz w:val="28"/>
          <w:szCs w:val="28"/>
        </w:rPr>
        <w:t>f</w:t>
      </w:r>
      <w:r w:rsidRPr="009B3EDF">
        <w:rPr>
          <w:rFonts w:asciiTheme="majorBidi" w:hAnsiTheme="majorBidi" w:cstheme="majorBidi"/>
          <w:b/>
          <w:bCs/>
          <w:sz w:val="28"/>
          <w:szCs w:val="28"/>
        </w:rPr>
        <w:t>or the Arab Region and Europe</w:t>
      </w:r>
      <w:r>
        <w:rPr>
          <w:rFonts w:asciiTheme="majorBidi" w:hAnsiTheme="majorBidi" w:cstheme="majorBidi"/>
          <w:b/>
          <w:bCs/>
          <w:sz w:val="28"/>
          <w:szCs w:val="28"/>
        </w:rPr>
        <w:t xml:space="preserve"> (CEDARE)</w:t>
      </w:r>
    </w:p>
    <w:p w14:paraId="27340B01" w14:textId="685E2C86" w:rsidR="00792E8C" w:rsidRDefault="008D6062" w:rsidP="008D6062">
      <w:pPr>
        <w:jc w:val="center"/>
        <w:rPr>
          <w:rFonts w:asciiTheme="majorBidi" w:hAnsiTheme="majorBidi" w:cstheme="majorBidi"/>
          <w:b/>
          <w:bCs/>
          <w:sz w:val="28"/>
          <w:szCs w:val="28"/>
        </w:rPr>
      </w:pPr>
      <w:r>
        <w:rPr>
          <w:rFonts w:asciiTheme="majorBidi" w:hAnsiTheme="majorBidi" w:cstheme="majorBidi"/>
          <w:b/>
          <w:bCs/>
          <w:sz w:val="28"/>
          <w:szCs w:val="28"/>
        </w:rPr>
        <w:t>Oct 2014</w:t>
      </w:r>
    </w:p>
    <w:p w14:paraId="1296DEFC" w14:textId="77777777" w:rsidR="009B3EDF" w:rsidRDefault="00792E8C">
      <w:pPr>
        <w:rPr>
          <w:rFonts w:asciiTheme="majorBidi" w:hAnsiTheme="majorBidi" w:cstheme="majorBidi"/>
          <w:b/>
          <w:bCs/>
          <w:sz w:val="24"/>
          <w:szCs w:val="24"/>
        </w:rPr>
      </w:pPr>
      <w:r>
        <w:rPr>
          <w:noProof/>
          <w:color w:val="000000"/>
        </w:rPr>
        <w:drawing>
          <wp:inline distT="0" distB="0" distL="0" distR="0" wp14:anchorId="32E8149F" wp14:editId="0C6BEC49">
            <wp:extent cx="5943600" cy="591661"/>
            <wp:effectExtent l="0" t="0" r="0" b="0"/>
            <wp:docPr id="3" name="Picture 1" descr="cid:_1_16E9322016E92FB4004609BE43257D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_1_16E9322016E92FB4004609BE43257D6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591661"/>
                    </a:xfrm>
                    <a:prstGeom prst="rect">
                      <a:avLst/>
                    </a:prstGeom>
                    <a:noFill/>
                    <a:ln>
                      <a:noFill/>
                    </a:ln>
                  </pic:spPr>
                </pic:pic>
              </a:graphicData>
            </a:graphic>
          </wp:inline>
        </w:drawing>
      </w:r>
      <w:r w:rsidR="009B3EDF">
        <w:rPr>
          <w:rFonts w:asciiTheme="majorBidi" w:hAnsiTheme="majorBidi" w:cstheme="majorBidi"/>
          <w:b/>
          <w:bCs/>
          <w:sz w:val="24"/>
          <w:szCs w:val="24"/>
        </w:rPr>
        <w:br w:type="page"/>
      </w:r>
    </w:p>
    <w:p w14:paraId="40F5372C" w14:textId="77777777" w:rsidR="009B3EDF" w:rsidRDefault="009B3EDF">
      <w:pPr>
        <w:rPr>
          <w:rFonts w:asciiTheme="majorBidi" w:hAnsiTheme="majorBidi" w:cstheme="majorBidi"/>
          <w:b/>
          <w:bCs/>
          <w:sz w:val="24"/>
          <w:szCs w:val="24"/>
        </w:rPr>
      </w:pPr>
    </w:p>
    <w:p w14:paraId="1A5273B8" w14:textId="77777777" w:rsidR="005F7956" w:rsidRDefault="005F7956">
      <w:pPr>
        <w:rPr>
          <w:rFonts w:asciiTheme="majorBidi" w:hAnsiTheme="majorBidi" w:cstheme="majorBidi"/>
          <w:b/>
          <w:bCs/>
          <w:sz w:val="24"/>
          <w:szCs w:val="24"/>
        </w:rPr>
      </w:pPr>
    </w:p>
    <w:sdt>
      <w:sdtPr>
        <w:rPr>
          <w:rFonts w:asciiTheme="minorHAnsi" w:eastAsiaTheme="minorHAnsi" w:hAnsiTheme="minorHAnsi" w:cstheme="minorBidi"/>
          <w:b w:val="0"/>
          <w:bCs w:val="0"/>
          <w:color w:val="auto"/>
          <w:sz w:val="22"/>
          <w:szCs w:val="22"/>
          <w:lang w:eastAsia="en-US"/>
        </w:rPr>
        <w:id w:val="1516877101"/>
        <w:docPartObj>
          <w:docPartGallery w:val="Table of Contents"/>
          <w:docPartUnique/>
        </w:docPartObj>
      </w:sdtPr>
      <w:sdtEndPr>
        <w:rPr>
          <w:noProof/>
        </w:rPr>
      </w:sdtEndPr>
      <w:sdtContent>
        <w:p w14:paraId="682E206D" w14:textId="77777777" w:rsidR="005F7956" w:rsidRDefault="005F7956">
          <w:pPr>
            <w:pStyle w:val="TOCHeading"/>
          </w:pPr>
          <w:r>
            <w:t>Table of Contents</w:t>
          </w:r>
        </w:p>
        <w:p w14:paraId="4C9ED37B" w14:textId="77777777" w:rsidR="005F7956" w:rsidRDefault="005F7956">
          <w:pPr>
            <w:pStyle w:val="TOC1"/>
            <w:tabs>
              <w:tab w:val="left" w:pos="440"/>
              <w:tab w:val="right" w:leader="dot" w:pos="9350"/>
            </w:tabs>
            <w:rPr>
              <w:noProof/>
            </w:rPr>
          </w:pPr>
          <w:r>
            <w:fldChar w:fldCharType="begin"/>
          </w:r>
          <w:r>
            <w:instrText xml:space="preserve"> TOC \o "1-3" \h \z \u </w:instrText>
          </w:r>
          <w:r>
            <w:fldChar w:fldCharType="separate"/>
          </w:r>
          <w:hyperlink w:anchor="_Toc400533322" w:history="1">
            <w:r w:rsidRPr="00FA74D4">
              <w:rPr>
                <w:rStyle w:val="Hyperlink"/>
                <w:noProof/>
              </w:rPr>
              <w:t>1</w:t>
            </w:r>
            <w:r>
              <w:rPr>
                <w:noProof/>
              </w:rPr>
              <w:tab/>
            </w:r>
            <w:r w:rsidRPr="00FA74D4">
              <w:rPr>
                <w:rStyle w:val="Hyperlink"/>
                <w:noProof/>
              </w:rPr>
              <w:t>Introduction.</w:t>
            </w:r>
            <w:r>
              <w:rPr>
                <w:noProof/>
                <w:webHidden/>
              </w:rPr>
              <w:tab/>
            </w:r>
            <w:r>
              <w:rPr>
                <w:noProof/>
                <w:webHidden/>
              </w:rPr>
              <w:fldChar w:fldCharType="begin"/>
            </w:r>
            <w:r>
              <w:rPr>
                <w:noProof/>
                <w:webHidden/>
              </w:rPr>
              <w:instrText xml:space="preserve"> PAGEREF _Toc400533322 \h </w:instrText>
            </w:r>
            <w:r>
              <w:rPr>
                <w:noProof/>
                <w:webHidden/>
              </w:rPr>
            </w:r>
            <w:r>
              <w:rPr>
                <w:noProof/>
                <w:webHidden/>
              </w:rPr>
              <w:fldChar w:fldCharType="separate"/>
            </w:r>
            <w:r w:rsidR="008D6062">
              <w:rPr>
                <w:noProof/>
                <w:webHidden/>
              </w:rPr>
              <w:t>3</w:t>
            </w:r>
            <w:r>
              <w:rPr>
                <w:noProof/>
                <w:webHidden/>
              </w:rPr>
              <w:fldChar w:fldCharType="end"/>
            </w:r>
          </w:hyperlink>
        </w:p>
        <w:p w14:paraId="04240661" w14:textId="77777777" w:rsidR="005F7956" w:rsidRDefault="005818B3">
          <w:pPr>
            <w:pStyle w:val="TOC2"/>
            <w:tabs>
              <w:tab w:val="left" w:pos="880"/>
              <w:tab w:val="right" w:leader="dot" w:pos="9350"/>
            </w:tabs>
            <w:rPr>
              <w:noProof/>
            </w:rPr>
          </w:pPr>
          <w:hyperlink w:anchor="_Toc400533323" w:history="1">
            <w:r w:rsidR="005F7956" w:rsidRPr="00FA74D4">
              <w:rPr>
                <w:rStyle w:val="Hyperlink"/>
                <w:noProof/>
              </w:rPr>
              <w:t>1.1</w:t>
            </w:r>
            <w:r w:rsidR="005F7956">
              <w:rPr>
                <w:noProof/>
              </w:rPr>
              <w:tab/>
            </w:r>
            <w:r w:rsidR="005F7956" w:rsidRPr="00FA74D4">
              <w:rPr>
                <w:rStyle w:val="Hyperlink"/>
                <w:noProof/>
              </w:rPr>
              <w:t>Objectives</w:t>
            </w:r>
            <w:r w:rsidR="005F7956">
              <w:rPr>
                <w:noProof/>
                <w:webHidden/>
              </w:rPr>
              <w:tab/>
            </w:r>
            <w:r w:rsidR="005F7956">
              <w:rPr>
                <w:noProof/>
                <w:webHidden/>
              </w:rPr>
              <w:fldChar w:fldCharType="begin"/>
            </w:r>
            <w:r w:rsidR="005F7956">
              <w:rPr>
                <w:noProof/>
                <w:webHidden/>
              </w:rPr>
              <w:instrText xml:space="preserve"> PAGEREF _Toc400533323 \h </w:instrText>
            </w:r>
            <w:r w:rsidR="005F7956">
              <w:rPr>
                <w:noProof/>
                <w:webHidden/>
              </w:rPr>
            </w:r>
            <w:r w:rsidR="005F7956">
              <w:rPr>
                <w:noProof/>
                <w:webHidden/>
              </w:rPr>
              <w:fldChar w:fldCharType="separate"/>
            </w:r>
            <w:r w:rsidR="008D6062">
              <w:rPr>
                <w:noProof/>
                <w:webHidden/>
              </w:rPr>
              <w:t>3</w:t>
            </w:r>
            <w:r w:rsidR="005F7956">
              <w:rPr>
                <w:noProof/>
                <w:webHidden/>
              </w:rPr>
              <w:fldChar w:fldCharType="end"/>
            </w:r>
          </w:hyperlink>
        </w:p>
        <w:p w14:paraId="751571E7" w14:textId="77777777" w:rsidR="005F7956" w:rsidRDefault="005818B3">
          <w:pPr>
            <w:pStyle w:val="TOC2"/>
            <w:tabs>
              <w:tab w:val="left" w:pos="880"/>
              <w:tab w:val="right" w:leader="dot" w:pos="9350"/>
            </w:tabs>
            <w:rPr>
              <w:noProof/>
            </w:rPr>
          </w:pPr>
          <w:hyperlink w:anchor="_Toc400533324" w:history="1">
            <w:r w:rsidR="005F7956" w:rsidRPr="00FA74D4">
              <w:rPr>
                <w:rStyle w:val="Hyperlink"/>
                <w:noProof/>
              </w:rPr>
              <w:t>1.2</w:t>
            </w:r>
            <w:r w:rsidR="005F7956">
              <w:rPr>
                <w:noProof/>
              </w:rPr>
              <w:tab/>
            </w:r>
            <w:r w:rsidR="005F7956" w:rsidRPr="00FA74D4">
              <w:rPr>
                <w:rStyle w:val="Hyperlink"/>
                <w:noProof/>
              </w:rPr>
              <w:t>Approach</w:t>
            </w:r>
            <w:r w:rsidR="005F7956">
              <w:rPr>
                <w:noProof/>
                <w:webHidden/>
              </w:rPr>
              <w:tab/>
            </w:r>
            <w:r w:rsidR="005F7956">
              <w:rPr>
                <w:noProof/>
                <w:webHidden/>
              </w:rPr>
              <w:fldChar w:fldCharType="begin"/>
            </w:r>
            <w:r w:rsidR="005F7956">
              <w:rPr>
                <w:noProof/>
                <w:webHidden/>
              </w:rPr>
              <w:instrText xml:space="preserve"> PAGEREF _Toc400533324 \h </w:instrText>
            </w:r>
            <w:r w:rsidR="005F7956">
              <w:rPr>
                <w:noProof/>
                <w:webHidden/>
              </w:rPr>
            </w:r>
            <w:r w:rsidR="005F7956">
              <w:rPr>
                <w:noProof/>
                <w:webHidden/>
              </w:rPr>
              <w:fldChar w:fldCharType="separate"/>
            </w:r>
            <w:r w:rsidR="008D6062">
              <w:rPr>
                <w:noProof/>
                <w:webHidden/>
              </w:rPr>
              <w:t>3</w:t>
            </w:r>
            <w:r w:rsidR="005F7956">
              <w:rPr>
                <w:noProof/>
                <w:webHidden/>
              </w:rPr>
              <w:fldChar w:fldCharType="end"/>
            </w:r>
          </w:hyperlink>
        </w:p>
        <w:p w14:paraId="52BFB3BC" w14:textId="77777777" w:rsidR="005F7956" w:rsidRDefault="005818B3">
          <w:pPr>
            <w:pStyle w:val="TOC2"/>
            <w:tabs>
              <w:tab w:val="left" w:pos="880"/>
              <w:tab w:val="right" w:leader="dot" w:pos="9350"/>
            </w:tabs>
            <w:rPr>
              <w:noProof/>
            </w:rPr>
          </w:pPr>
          <w:hyperlink w:anchor="_Toc400533325" w:history="1">
            <w:r w:rsidR="005F7956" w:rsidRPr="00FA74D4">
              <w:rPr>
                <w:rStyle w:val="Hyperlink"/>
                <w:noProof/>
              </w:rPr>
              <w:t>1.3</w:t>
            </w:r>
            <w:r w:rsidR="005F7956">
              <w:rPr>
                <w:noProof/>
              </w:rPr>
              <w:tab/>
            </w:r>
            <w:r w:rsidR="005F7956" w:rsidRPr="00FA74D4">
              <w:rPr>
                <w:rStyle w:val="Hyperlink"/>
                <w:noProof/>
              </w:rPr>
              <w:t>Limitations</w:t>
            </w:r>
            <w:r w:rsidR="005F7956">
              <w:rPr>
                <w:noProof/>
                <w:webHidden/>
              </w:rPr>
              <w:tab/>
            </w:r>
            <w:r w:rsidR="005F7956">
              <w:rPr>
                <w:noProof/>
                <w:webHidden/>
              </w:rPr>
              <w:fldChar w:fldCharType="begin"/>
            </w:r>
            <w:r w:rsidR="005F7956">
              <w:rPr>
                <w:noProof/>
                <w:webHidden/>
              </w:rPr>
              <w:instrText xml:space="preserve"> PAGEREF _Toc400533325 \h </w:instrText>
            </w:r>
            <w:r w:rsidR="005F7956">
              <w:rPr>
                <w:noProof/>
                <w:webHidden/>
              </w:rPr>
            </w:r>
            <w:r w:rsidR="005F7956">
              <w:rPr>
                <w:noProof/>
                <w:webHidden/>
              </w:rPr>
              <w:fldChar w:fldCharType="separate"/>
            </w:r>
            <w:r w:rsidR="008D6062">
              <w:rPr>
                <w:noProof/>
                <w:webHidden/>
              </w:rPr>
              <w:t>5</w:t>
            </w:r>
            <w:r w:rsidR="005F7956">
              <w:rPr>
                <w:noProof/>
                <w:webHidden/>
              </w:rPr>
              <w:fldChar w:fldCharType="end"/>
            </w:r>
          </w:hyperlink>
        </w:p>
        <w:p w14:paraId="1F5F2737" w14:textId="77777777" w:rsidR="005F7956" w:rsidRDefault="005818B3">
          <w:pPr>
            <w:pStyle w:val="TOC1"/>
            <w:tabs>
              <w:tab w:val="left" w:pos="440"/>
              <w:tab w:val="right" w:leader="dot" w:pos="9350"/>
            </w:tabs>
            <w:rPr>
              <w:noProof/>
            </w:rPr>
          </w:pPr>
          <w:hyperlink w:anchor="_Toc400533326" w:history="1">
            <w:r w:rsidR="005F7956" w:rsidRPr="00FA74D4">
              <w:rPr>
                <w:rStyle w:val="Hyperlink"/>
                <w:noProof/>
              </w:rPr>
              <w:t>2</w:t>
            </w:r>
            <w:r w:rsidR="005F7956">
              <w:rPr>
                <w:noProof/>
              </w:rPr>
              <w:tab/>
            </w:r>
            <w:r w:rsidR="005F7956" w:rsidRPr="00FA74D4">
              <w:rPr>
                <w:rStyle w:val="Hyperlink"/>
                <w:noProof/>
              </w:rPr>
              <w:t>Background information</w:t>
            </w:r>
            <w:r w:rsidR="005F7956">
              <w:rPr>
                <w:noProof/>
                <w:webHidden/>
              </w:rPr>
              <w:tab/>
            </w:r>
            <w:r w:rsidR="005F7956">
              <w:rPr>
                <w:noProof/>
                <w:webHidden/>
              </w:rPr>
              <w:fldChar w:fldCharType="begin"/>
            </w:r>
            <w:r w:rsidR="005F7956">
              <w:rPr>
                <w:noProof/>
                <w:webHidden/>
              </w:rPr>
              <w:instrText xml:space="preserve"> PAGEREF _Toc400533326 \h </w:instrText>
            </w:r>
            <w:r w:rsidR="005F7956">
              <w:rPr>
                <w:noProof/>
                <w:webHidden/>
              </w:rPr>
            </w:r>
            <w:r w:rsidR="005F7956">
              <w:rPr>
                <w:noProof/>
                <w:webHidden/>
              </w:rPr>
              <w:fldChar w:fldCharType="separate"/>
            </w:r>
            <w:r w:rsidR="008D6062">
              <w:rPr>
                <w:noProof/>
                <w:webHidden/>
              </w:rPr>
              <w:t>6</w:t>
            </w:r>
            <w:r w:rsidR="005F7956">
              <w:rPr>
                <w:noProof/>
                <w:webHidden/>
              </w:rPr>
              <w:fldChar w:fldCharType="end"/>
            </w:r>
          </w:hyperlink>
        </w:p>
        <w:p w14:paraId="20701C62" w14:textId="77777777" w:rsidR="005F7956" w:rsidRDefault="005818B3">
          <w:pPr>
            <w:pStyle w:val="TOC2"/>
            <w:tabs>
              <w:tab w:val="left" w:pos="880"/>
              <w:tab w:val="right" w:leader="dot" w:pos="9350"/>
            </w:tabs>
            <w:rPr>
              <w:noProof/>
            </w:rPr>
          </w:pPr>
          <w:hyperlink w:anchor="_Toc400533327" w:history="1">
            <w:r w:rsidR="005F7956" w:rsidRPr="00FA74D4">
              <w:rPr>
                <w:rStyle w:val="Hyperlink"/>
                <w:noProof/>
              </w:rPr>
              <w:t>2.1</w:t>
            </w:r>
            <w:r w:rsidR="005F7956">
              <w:rPr>
                <w:noProof/>
              </w:rPr>
              <w:tab/>
            </w:r>
            <w:r w:rsidR="005F7956" w:rsidRPr="00FA74D4">
              <w:rPr>
                <w:rStyle w:val="Hyperlink"/>
                <w:noProof/>
              </w:rPr>
              <w:t>Fuel Economy</w:t>
            </w:r>
            <w:r w:rsidR="005F7956">
              <w:rPr>
                <w:noProof/>
                <w:webHidden/>
              </w:rPr>
              <w:tab/>
            </w:r>
            <w:r w:rsidR="005F7956">
              <w:rPr>
                <w:noProof/>
                <w:webHidden/>
              </w:rPr>
              <w:fldChar w:fldCharType="begin"/>
            </w:r>
            <w:r w:rsidR="005F7956">
              <w:rPr>
                <w:noProof/>
                <w:webHidden/>
              </w:rPr>
              <w:instrText xml:space="preserve"> PAGEREF _Toc400533327 \h </w:instrText>
            </w:r>
            <w:r w:rsidR="005F7956">
              <w:rPr>
                <w:noProof/>
                <w:webHidden/>
              </w:rPr>
            </w:r>
            <w:r w:rsidR="005F7956">
              <w:rPr>
                <w:noProof/>
                <w:webHidden/>
              </w:rPr>
              <w:fldChar w:fldCharType="separate"/>
            </w:r>
            <w:r w:rsidR="008D6062">
              <w:rPr>
                <w:noProof/>
                <w:webHidden/>
              </w:rPr>
              <w:t>6</w:t>
            </w:r>
            <w:r w:rsidR="005F7956">
              <w:rPr>
                <w:noProof/>
                <w:webHidden/>
              </w:rPr>
              <w:fldChar w:fldCharType="end"/>
            </w:r>
          </w:hyperlink>
        </w:p>
        <w:p w14:paraId="07FDA64F" w14:textId="77777777" w:rsidR="005F7956" w:rsidRDefault="005818B3">
          <w:pPr>
            <w:pStyle w:val="TOC2"/>
            <w:tabs>
              <w:tab w:val="left" w:pos="880"/>
              <w:tab w:val="right" w:leader="dot" w:pos="9350"/>
            </w:tabs>
            <w:rPr>
              <w:noProof/>
            </w:rPr>
          </w:pPr>
          <w:hyperlink w:anchor="_Toc400533328" w:history="1">
            <w:r w:rsidR="005F7956" w:rsidRPr="00FA74D4">
              <w:rPr>
                <w:rStyle w:val="Hyperlink"/>
                <w:noProof/>
              </w:rPr>
              <w:t>2.2</w:t>
            </w:r>
            <w:r w:rsidR="005F7956">
              <w:rPr>
                <w:noProof/>
              </w:rPr>
              <w:tab/>
            </w:r>
            <w:r w:rsidR="005F7956" w:rsidRPr="00FA74D4">
              <w:rPr>
                <w:rStyle w:val="Hyperlink"/>
                <w:noProof/>
              </w:rPr>
              <w:t>Factors Affecting Fuel/Consumption Economy</w:t>
            </w:r>
            <w:r w:rsidR="005F7956">
              <w:rPr>
                <w:noProof/>
                <w:webHidden/>
              </w:rPr>
              <w:tab/>
            </w:r>
            <w:r w:rsidR="005F7956">
              <w:rPr>
                <w:noProof/>
                <w:webHidden/>
              </w:rPr>
              <w:fldChar w:fldCharType="begin"/>
            </w:r>
            <w:r w:rsidR="005F7956">
              <w:rPr>
                <w:noProof/>
                <w:webHidden/>
              </w:rPr>
              <w:instrText xml:space="preserve"> PAGEREF _Toc400533328 \h </w:instrText>
            </w:r>
            <w:r w:rsidR="005F7956">
              <w:rPr>
                <w:noProof/>
                <w:webHidden/>
              </w:rPr>
            </w:r>
            <w:r w:rsidR="005F7956">
              <w:rPr>
                <w:noProof/>
                <w:webHidden/>
              </w:rPr>
              <w:fldChar w:fldCharType="separate"/>
            </w:r>
            <w:r w:rsidR="008D6062">
              <w:rPr>
                <w:noProof/>
                <w:webHidden/>
              </w:rPr>
              <w:t>6</w:t>
            </w:r>
            <w:r w:rsidR="005F7956">
              <w:rPr>
                <w:noProof/>
                <w:webHidden/>
              </w:rPr>
              <w:fldChar w:fldCharType="end"/>
            </w:r>
          </w:hyperlink>
        </w:p>
        <w:p w14:paraId="28E1DBD9" w14:textId="77777777" w:rsidR="005F7956" w:rsidRDefault="005818B3">
          <w:pPr>
            <w:pStyle w:val="TOC2"/>
            <w:tabs>
              <w:tab w:val="left" w:pos="880"/>
              <w:tab w:val="right" w:leader="dot" w:pos="9350"/>
            </w:tabs>
            <w:rPr>
              <w:noProof/>
            </w:rPr>
          </w:pPr>
          <w:hyperlink w:anchor="_Toc400533329" w:history="1">
            <w:r w:rsidR="005F7956" w:rsidRPr="00FA74D4">
              <w:rPr>
                <w:rStyle w:val="Hyperlink"/>
                <w:noProof/>
              </w:rPr>
              <w:t>2.3</w:t>
            </w:r>
            <w:r w:rsidR="005F7956">
              <w:rPr>
                <w:noProof/>
              </w:rPr>
              <w:tab/>
            </w:r>
            <w:r w:rsidR="005F7956" w:rsidRPr="00FA74D4">
              <w:rPr>
                <w:rStyle w:val="Hyperlink"/>
                <w:noProof/>
              </w:rPr>
              <w:t>Fuel Economy Standards</w:t>
            </w:r>
            <w:r w:rsidR="005F7956">
              <w:rPr>
                <w:noProof/>
                <w:webHidden/>
              </w:rPr>
              <w:tab/>
            </w:r>
            <w:r w:rsidR="005F7956">
              <w:rPr>
                <w:noProof/>
                <w:webHidden/>
              </w:rPr>
              <w:fldChar w:fldCharType="begin"/>
            </w:r>
            <w:r w:rsidR="005F7956">
              <w:rPr>
                <w:noProof/>
                <w:webHidden/>
              </w:rPr>
              <w:instrText xml:space="preserve"> PAGEREF _Toc400533329 \h </w:instrText>
            </w:r>
            <w:r w:rsidR="005F7956">
              <w:rPr>
                <w:noProof/>
                <w:webHidden/>
              </w:rPr>
            </w:r>
            <w:r w:rsidR="005F7956">
              <w:rPr>
                <w:noProof/>
                <w:webHidden/>
              </w:rPr>
              <w:fldChar w:fldCharType="separate"/>
            </w:r>
            <w:r w:rsidR="008D6062">
              <w:rPr>
                <w:noProof/>
                <w:webHidden/>
              </w:rPr>
              <w:t>8</w:t>
            </w:r>
            <w:r w:rsidR="005F7956">
              <w:rPr>
                <w:noProof/>
                <w:webHidden/>
              </w:rPr>
              <w:fldChar w:fldCharType="end"/>
            </w:r>
          </w:hyperlink>
        </w:p>
        <w:p w14:paraId="7BBBE1AE" w14:textId="77777777" w:rsidR="005F7956" w:rsidRDefault="005818B3">
          <w:pPr>
            <w:pStyle w:val="TOC2"/>
            <w:tabs>
              <w:tab w:val="left" w:pos="880"/>
              <w:tab w:val="right" w:leader="dot" w:pos="9350"/>
            </w:tabs>
            <w:rPr>
              <w:noProof/>
            </w:rPr>
          </w:pPr>
          <w:hyperlink w:anchor="_Toc400533330" w:history="1">
            <w:r w:rsidR="005F7956" w:rsidRPr="00FA74D4">
              <w:rPr>
                <w:rStyle w:val="Hyperlink"/>
                <w:noProof/>
              </w:rPr>
              <w:t>2.4</w:t>
            </w:r>
            <w:r w:rsidR="005F7956">
              <w:rPr>
                <w:noProof/>
              </w:rPr>
              <w:tab/>
            </w:r>
            <w:r w:rsidR="005F7956" w:rsidRPr="00FA74D4">
              <w:rPr>
                <w:rStyle w:val="Hyperlink"/>
                <w:noProof/>
              </w:rPr>
              <w:t>Driving Cycles</w:t>
            </w:r>
            <w:r w:rsidR="005F7956">
              <w:rPr>
                <w:noProof/>
                <w:webHidden/>
              </w:rPr>
              <w:tab/>
            </w:r>
            <w:r w:rsidR="005F7956">
              <w:rPr>
                <w:noProof/>
                <w:webHidden/>
              </w:rPr>
              <w:fldChar w:fldCharType="begin"/>
            </w:r>
            <w:r w:rsidR="005F7956">
              <w:rPr>
                <w:noProof/>
                <w:webHidden/>
              </w:rPr>
              <w:instrText xml:space="preserve"> PAGEREF _Toc400533330 \h </w:instrText>
            </w:r>
            <w:r w:rsidR="005F7956">
              <w:rPr>
                <w:noProof/>
                <w:webHidden/>
              </w:rPr>
            </w:r>
            <w:r w:rsidR="005F7956">
              <w:rPr>
                <w:noProof/>
                <w:webHidden/>
              </w:rPr>
              <w:fldChar w:fldCharType="separate"/>
            </w:r>
            <w:r w:rsidR="008D6062">
              <w:rPr>
                <w:noProof/>
                <w:webHidden/>
              </w:rPr>
              <w:t>9</w:t>
            </w:r>
            <w:r w:rsidR="005F7956">
              <w:rPr>
                <w:noProof/>
                <w:webHidden/>
              </w:rPr>
              <w:fldChar w:fldCharType="end"/>
            </w:r>
          </w:hyperlink>
        </w:p>
        <w:p w14:paraId="71CDC5D8" w14:textId="77777777" w:rsidR="005F7956" w:rsidRDefault="005818B3">
          <w:pPr>
            <w:pStyle w:val="TOC1"/>
            <w:tabs>
              <w:tab w:val="left" w:pos="440"/>
              <w:tab w:val="right" w:leader="dot" w:pos="9350"/>
            </w:tabs>
            <w:rPr>
              <w:noProof/>
            </w:rPr>
          </w:pPr>
          <w:hyperlink w:anchor="_Toc400533331" w:history="1">
            <w:r w:rsidR="005F7956" w:rsidRPr="00FA74D4">
              <w:rPr>
                <w:rStyle w:val="Hyperlink"/>
                <w:noProof/>
              </w:rPr>
              <w:t>3</w:t>
            </w:r>
            <w:r w:rsidR="005F7956">
              <w:rPr>
                <w:noProof/>
              </w:rPr>
              <w:tab/>
            </w:r>
            <w:r w:rsidR="005F7956" w:rsidRPr="00FA74D4">
              <w:rPr>
                <w:rStyle w:val="Hyperlink"/>
                <w:noProof/>
              </w:rPr>
              <w:t>Tunisia in North-African Context</w:t>
            </w:r>
            <w:r w:rsidR="005F7956">
              <w:rPr>
                <w:noProof/>
                <w:webHidden/>
              </w:rPr>
              <w:tab/>
            </w:r>
            <w:r w:rsidR="005F7956">
              <w:rPr>
                <w:noProof/>
                <w:webHidden/>
              </w:rPr>
              <w:fldChar w:fldCharType="begin"/>
            </w:r>
            <w:r w:rsidR="005F7956">
              <w:rPr>
                <w:noProof/>
                <w:webHidden/>
              </w:rPr>
              <w:instrText xml:space="preserve"> PAGEREF _Toc400533331 \h </w:instrText>
            </w:r>
            <w:r w:rsidR="005F7956">
              <w:rPr>
                <w:noProof/>
                <w:webHidden/>
              </w:rPr>
            </w:r>
            <w:r w:rsidR="005F7956">
              <w:rPr>
                <w:noProof/>
                <w:webHidden/>
              </w:rPr>
              <w:fldChar w:fldCharType="separate"/>
            </w:r>
            <w:r w:rsidR="008D6062">
              <w:rPr>
                <w:noProof/>
                <w:webHidden/>
              </w:rPr>
              <w:t>9</w:t>
            </w:r>
            <w:r w:rsidR="005F7956">
              <w:rPr>
                <w:noProof/>
                <w:webHidden/>
              </w:rPr>
              <w:fldChar w:fldCharType="end"/>
            </w:r>
          </w:hyperlink>
        </w:p>
        <w:p w14:paraId="7E2BF690" w14:textId="77777777" w:rsidR="005F7956" w:rsidRDefault="005818B3">
          <w:pPr>
            <w:pStyle w:val="TOC1"/>
            <w:tabs>
              <w:tab w:val="left" w:pos="440"/>
              <w:tab w:val="right" w:leader="dot" w:pos="9350"/>
            </w:tabs>
            <w:rPr>
              <w:noProof/>
            </w:rPr>
          </w:pPr>
          <w:hyperlink w:anchor="_Toc400533332" w:history="1">
            <w:r w:rsidR="005F7956" w:rsidRPr="00FA74D4">
              <w:rPr>
                <w:rStyle w:val="Hyperlink"/>
                <w:noProof/>
              </w:rPr>
              <w:t>4</w:t>
            </w:r>
            <w:r w:rsidR="005F7956">
              <w:rPr>
                <w:noProof/>
              </w:rPr>
              <w:tab/>
            </w:r>
            <w:r w:rsidR="005F7956" w:rsidRPr="00FA74D4">
              <w:rPr>
                <w:rStyle w:val="Hyperlink"/>
                <w:noProof/>
              </w:rPr>
              <w:t>LDVs Policy Environment in Tunisia</w:t>
            </w:r>
            <w:r w:rsidR="005F7956">
              <w:rPr>
                <w:noProof/>
                <w:webHidden/>
              </w:rPr>
              <w:tab/>
            </w:r>
            <w:r w:rsidR="005F7956">
              <w:rPr>
                <w:noProof/>
                <w:webHidden/>
              </w:rPr>
              <w:fldChar w:fldCharType="begin"/>
            </w:r>
            <w:r w:rsidR="005F7956">
              <w:rPr>
                <w:noProof/>
                <w:webHidden/>
              </w:rPr>
              <w:instrText xml:space="preserve"> PAGEREF _Toc400533332 \h </w:instrText>
            </w:r>
            <w:r w:rsidR="005F7956">
              <w:rPr>
                <w:noProof/>
                <w:webHidden/>
              </w:rPr>
            </w:r>
            <w:r w:rsidR="005F7956">
              <w:rPr>
                <w:noProof/>
                <w:webHidden/>
              </w:rPr>
              <w:fldChar w:fldCharType="separate"/>
            </w:r>
            <w:r w:rsidR="008D6062">
              <w:rPr>
                <w:noProof/>
                <w:webHidden/>
              </w:rPr>
              <w:t>12</w:t>
            </w:r>
            <w:r w:rsidR="005F7956">
              <w:rPr>
                <w:noProof/>
                <w:webHidden/>
              </w:rPr>
              <w:fldChar w:fldCharType="end"/>
            </w:r>
          </w:hyperlink>
        </w:p>
        <w:p w14:paraId="779EDF55" w14:textId="77777777" w:rsidR="005F7956" w:rsidRDefault="005818B3">
          <w:pPr>
            <w:pStyle w:val="TOC1"/>
            <w:tabs>
              <w:tab w:val="left" w:pos="440"/>
              <w:tab w:val="right" w:leader="dot" w:pos="9350"/>
            </w:tabs>
            <w:rPr>
              <w:noProof/>
            </w:rPr>
          </w:pPr>
          <w:hyperlink w:anchor="_Toc400533333" w:history="1">
            <w:r w:rsidR="005F7956" w:rsidRPr="00FA74D4">
              <w:rPr>
                <w:rStyle w:val="Hyperlink"/>
                <w:noProof/>
              </w:rPr>
              <w:t>5</w:t>
            </w:r>
            <w:r w:rsidR="005F7956">
              <w:rPr>
                <w:noProof/>
              </w:rPr>
              <w:tab/>
            </w:r>
            <w:r w:rsidR="005F7956" w:rsidRPr="00FA74D4">
              <w:rPr>
                <w:rStyle w:val="Hyperlink"/>
                <w:noProof/>
              </w:rPr>
              <w:t>Data for CO</w:t>
            </w:r>
            <w:r w:rsidR="005F7956" w:rsidRPr="00FA74D4">
              <w:rPr>
                <w:rStyle w:val="Hyperlink"/>
                <w:noProof/>
                <w:vertAlign w:val="subscript"/>
              </w:rPr>
              <w:t>2</w:t>
            </w:r>
            <w:r w:rsidR="005F7956" w:rsidRPr="00FA74D4">
              <w:rPr>
                <w:rStyle w:val="Hyperlink"/>
                <w:noProof/>
              </w:rPr>
              <w:t xml:space="preserve">   Emissions and Fuel consumption in Tunisia</w:t>
            </w:r>
            <w:r w:rsidR="005F7956">
              <w:rPr>
                <w:noProof/>
                <w:webHidden/>
              </w:rPr>
              <w:tab/>
            </w:r>
            <w:r w:rsidR="005F7956">
              <w:rPr>
                <w:noProof/>
                <w:webHidden/>
              </w:rPr>
              <w:fldChar w:fldCharType="begin"/>
            </w:r>
            <w:r w:rsidR="005F7956">
              <w:rPr>
                <w:noProof/>
                <w:webHidden/>
              </w:rPr>
              <w:instrText xml:space="preserve"> PAGEREF _Toc400533333 \h </w:instrText>
            </w:r>
            <w:r w:rsidR="005F7956">
              <w:rPr>
                <w:noProof/>
                <w:webHidden/>
              </w:rPr>
            </w:r>
            <w:r w:rsidR="005F7956">
              <w:rPr>
                <w:noProof/>
                <w:webHidden/>
              </w:rPr>
              <w:fldChar w:fldCharType="separate"/>
            </w:r>
            <w:r w:rsidR="008D6062">
              <w:rPr>
                <w:noProof/>
                <w:webHidden/>
              </w:rPr>
              <w:t>13</w:t>
            </w:r>
            <w:r w:rsidR="005F7956">
              <w:rPr>
                <w:noProof/>
                <w:webHidden/>
              </w:rPr>
              <w:fldChar w:fldCharType="end"/>
            </w:r>
          </w:hyperlink>
        </w:p>
        <w:p w14:paraId="24EAA4CF" w14:textId="77777777" w:rsidR="005F7956" w:rsidRDefault="005818B3">
          <w:pPr>
            <w:pStyle w:val="TOC1"/>
            <w:tabs>
              <w:tab w:val="left" w:pos="440"/>
              <w:tab w:val="right" w:leader="dot" w:pos="9350"/>
            </w:tabs>
            <w:rPr>
              <w:noProof/>
            </w:rPr>
          </w:pPr>
          <w:hyperlink w:anchor="_Toc400533334" w:history="1">
            <w:r w:rsidR="005F7956" w:rsidRPr="00FA74D4">
              <w:rPr>
                <w:rStyle w:val="Hyperlink"/>
                <w:noProof/>
              </w:rPr>
              <w:t>6</w:t>
            </w:r>
            <w:r w:rsidR="005F7956">
              <w:rPr>
                <w:noProof/>
              </w:rPr>
              <w:tab/>
            </w:r>
            <w:r w:rsidR="005F7956" w:rsidRPr="00FA74D4">
              <w:rPr>
                <w:rStyle w:val="Hyperlink"/>
                <w:noProof/>
              </w:rPr>
              <w:t>Discussion of Data</w:t>
            </w:r>
            <w:r w:rsidR="005F7956">
              <w:rPr>
                <w:noProof/>
                <w:webHidden/>
              </w:rPr>
              <w:tab/>
            </w:r>
            <w:r w:rsidR="005F7956">
              <w:rPr>
                <w:noProof/>
                <w:webHidden/>
              </w:rPr>
              <w:fldChar w:fldCharType="begin"/>
            </w:r>
            <w:r w:rsidR="005F7956">
              <w:rPr>
                <w:noProof/>
                <w:webHidden/>
              </w:rPr>
              <w:instrText xml:space="preserve"> PAGEREF _Toc400533334 \h </w:instrText>
            </w:r>
            <w:r w:rsidR="005F7956">
              <w:rPr>
                <w:noProof/>
                <w:webHidden/>
              </w:rPr>
            </w:r>
            <w:r w:rsidR="005F7956">
              <w:rPr>
                <w:noProof/>
                <w:webHidden/>
              </w:rPr>
              <w:fldChar w:fldCharType="separate"/>
            </w:r>
            <w:r w:rsidR="008D6062">
              <w:rPr>
                <w:noProof/>
                <w:webHidden/>
              </w:rPr>
              <w:t>15</w:t>
            </w:r>
            <w:r w:rsidR="005F7956">
              <w:rPr>
                <w:noProof/>
                <w:webHidden/>
              </w:rPr>
              <w:fldChar w:fldCharType="end"/>
            </w:r>
          </w:hyperlink>
        </w:p>
        <w:p w14:paraId="58C16673" w14:textId="77777777" w:rsidR="005F7956" w:rsidRDefault="005818B3">
          <w:pPr>
            <w:pStyle w:val="TOC1"/>
            <w:tabs>
              <w:tab w:val="left" w:pos="440"/>
              <w:tab w:val="right" w:leader="dot" w:pos="9350"/>
            </w:tabs>
            <w:rPr>
              <w:noProof/>
            </w:rPr>
          </w:pPr>
          <w:hyperlink w:anchor="_Toc400533335" w:history="1">
            <w:r w:rsidR="005F7956" w:rsidRPr="00FA74D4">
              <w:rPr>
                <w:rStyle w:val="Hyperlink"/>
                <w:noProof/>
              </w:rPr>
              <w:t>7</w:t>
            </w:r>
            <w:r w:rsidR="005F7956">
              <w:rPr>
                <w:noProof/>
              </w:rPr>
              <w:tab/>
            </w:r>
            <w:r w:rsidR="005F7956" w:rsidRPr="00FA74D4">
              <w:rPr>
                <w:rStyle w:val="Hyperlink"/>
                <w:noProof/>
              </w:rPr>
              <w:t>Way Forward</w:t>
            </w:r>
            <w:r w:rsidR="005F7956">
              <w:rPr>
                <w:noProof/>
                <w:webHidden/>
              </w:rPr>
              <w:tab/>
            </w:r>
            <w:r w:rsidR="005F7956">
              <w:rPr>
                <w:noProof/>
                <w:webHidden/>
              </w:rPr>
              <w:fldChar w:fldCharType="begin"/>
            </w:r>
            <w:r w:rsidR="005F7956">
              <w:rPr>
                <w:noProof/>
                <w:webHidden/>
              </w:rPr>
              <w:instrText xml:space="preserve"> PAGEREF _Toc400533335 \h </w:instrText>
            </w:r>
            <w:r w:rsidR="005F7956">
              <w:rPr>
                <w:noProof/>
                <w:webHidden/>
              </w:rPr>
            </w:r>
            <w:r w:rsidR="005F7956">
              <w:rPr>
                <w:noProof/>
                <w:webHidden/>
              </w:rPr>
              <w:fldChar w:fldCharType="separate"/>
            </w:r>
            <w:r w:rsidR="008D6062">
              <w:rPr>
                <w:noProof/>
                <w:webHidden/>
              </w:rPr>
              <w:t>17</w:t>
            </w:r>
            <w:r w:rsidR="005F7956">
              <w:rPr>
                <w:noProof/>
                <w:webHidden/>
              </w:rPr>
              <w:fldChar w:fldCharType="end"/>
            </w:r>
          </w:hyperlink>
        </w:p>
        <w:p w14:paraId="0E842E09" w14:textId="77777777" w:rsidR="005F7956" w:rsidRDefault="005F7956">
          <w:r>
            <w:rPr>
              <w:b/>
              <w:bCs/>
              <w:noProof/>
            </w:rPr>
            <w:fldChar w:fldCharType="end"/>
          </w:r>
        </w:p>
      </w:sdtContent>
    </w:sdt>
    <w:p w14:paraId="7FE6C417" w14:textId="77777777" w:rsidR="009B3EDF" w:rsidRDefault="009B3EDF" w:rsidP="005F7956"/>
    <w:p w14:paraId="52FDA8BB" w14:textId="77777777" w:rsidR="009B3EDF" w:rsidRDefault="009B3EDF">
      <w:r>
        <w:br w:type="page"/>
      </w:r>
    </w:p>
    <w:p w14:paraId="683EE9DE" w14:textId="77777777" w:rsidR="004D5381" w:rsidRDefault="004D5381">
      <w:pPr>
        <w:rPr>
          <w:rFonts w:asciiTheme="majorBidi" w:hAnsiTheme="majorBidi" w:cstheme="majorBidi"/>
          <w:b/>
          <w:bCs/>
          <w:sz w:val="24"/>
          <w:szCs w:val="24"/>
        </w:rPr>
      </w:pPr>
      <w:r>
        <w:rPr>
          <w:rFonts w:asciiTheme="majorBidi" w:hAnsiTheme="majorBidi" w:cstheme="majorBidi"/>
          <w:b/>
          <w:bCs/>
          <w:sz w:val="24"/>
          <w:szCs w:val="24"/>
        </w:rPr>
        <w:lastRenderedPageBreak/>
        <w:t>Table of Figures</w:t>
      </w:r>
    </w:p>
    <w:p w14:paraId="509EE4FB" w14:textId="77777777" w:rsidR="00DB028D" w:rsidRDefault="00DB028D">
      <w:pPr>
        <w:pStyle w:val="TableofFigures"/>
        <w:tabs>
          <w:tab w:val="right" w:leader="dot" w:pos="9350"/>
        </w:tabs>
        <w:rPr>
          <w:rFonts w:eastAsiaTheme="minorEastAsia"/>
          <w:noProof/>
        </w:rPr>
      </w:pPr>
      <w:r>
        <w:rPr>
          <w:rFonts w:asciiTheme="majorBidi" w:hAnsiTheme="majorBidi" w:cstheme="majorBidi"/>
          <w:b/>
          <w:bCs/>
          <w:sz w:val="24"/>
          <w:szCs w:val="24"/>
        </w:rPr>
        <w:fldChar w:fldCharType="begin"/>
      </w:r>
      <w:r>
        <w:rPr>
          <w:rFonts w:asciiTheme="majorBidi" w:hAnsiTheme="majorBidi" w:cstheme="majorBidi"/>
          <w:b/>
          <w:bCs/>
          <w:sz w:val="24"/>
          <w:szCs w:val="24"/>
        </w:rPr>
        <w:instrText xml:space="preserve"> TOC \h \z \c "Figure" </w:instrText>
      </w:r>
      <w:r>
        <w:rPr>
          <w:rFonts w:asciiTheme="majorBidi" w:hAnsiTheme="majorBidi" w:cstheme="majorBidi"/>
          <w:b/>
          <w:bCs/>
          <w:sz w:val="24"/>
          <w:szCs w:val="24"/>
        </w:rPr>
        <w:fldChar w:fldCharType="separate"/>
      </w:r>
      <w:hyperlink w:anchor="_Toc400532645" w:history="1">
        <w:r w:rsidRPr="000A738F">
          <w:rPr>
            <w:rStyle w:val="Hyperlink"/>
            <w:noProof/>
          </w:rPr>
          <w:t>Figure 1: Total number of vehicles on the road. (OICA 2014)</w:t>
        </w:r>
        <w:r>
          <w:rPr>
            <w:noProof/>
            <w:webHidden/>
          </w:rPr>
          <w:tab/>
        </w:r>
        <w:r>
          <w:rPr>
            <w:noProof/>
            <w:webHidden/>
          </w:rPr>
          <w:fldChar w:fldCharType="begin"/>
        </w:r>
        <w:r>
          <w:rPr>
            <w:noProof/>
            <w:webHidden/>
          </w:rPr>
          <w:instrText xml:space="preserve"> PAGEREF _Toc400532645 \h </w:instrText>
        </w:r>
        <w:r>
          <w:rPr>
            <w:noProof/>
            <w:webHidden/>
          </w:rPr>
        </w:r>
        <w:r>
          <w:rPr>
            <w:noProof/>
            <w:webHidden/>
          </w:rPr>
          <w:fldChar w:fldCharType="separate"/>
        </w:r>
        <w:r w:rsidR="008D6062">
          <w:rPr>
            <w:noProof/>
            <w:webHidden/>
          </w:rPr>
          <w:t>10</w:t>
        </w:r>
        <w:r>
          <w:rPr>
            <w:noProof/>
            <w:webHidden/>
          </w:rPr>
          <w:fldChar w:fldCharType="end"/>
        </w:r>
      </w:hyperlink>
    </w:p>
    <w:p w14:paraId="7AC34A45" w14:textId="77777777" w:rsidR="00DB028D" w:rsidRDefault="005818B3">
      <w:pPr>
        <w:pStyle w:val="TableofFigures"/>
        <w:tabs>
          <w:tab w:val="right" w:leader="dot" w:pos="9350"/>
        </w:tabs>
        <w:rPr>
          <w:rFonts w:eastAsiaTheme="minorEastAsia"/>
          <w:noProof/>
        </w:rPr>
      </w:pPr>
      <w:hyperlink w:anchor="_Toc400532646" w:history="1">
        <w:r w:rsidR="00DB028D" w:rsidRPr="000A738F">
          <w:rPr>
            <w:rStyle w:val="Hyperlink"/>
            <w:noProof/>
          </w:rPr>
          <w:t>Figure 2: Sales of new LDVs in Tunisia and Egypt (Matthias Gasnier, 2014)</w:t>
        </w:r>
        <w:r w:rsidR="00DB028D">
          <w:rPr>
            <w:noProof/>
            <w:webHidden/>
          </w:rPr>
          <w:tab/>
        </w:r>
        <w:r w:rsidR="00DB028D">
          <w:rPr>
            <w:noProof/>
            <w:webHidden/>
          </w:rPr>
          <w:fldChar w:fldCharType="begin"/>
        </w:r>
        <w:r w:rsidR="00DB028D">
          <w:rPr>
            <w:noProof/>
            <w:webHidden/>
          </w:rPr>
          <w:instrText xml:space="preserve"> PAGEREF _Toc400532646 \h </w:instrText>
        </w:r>
        <w:r w:rsidR="00DB028D">
          <w:rPr>
            <w:noProof/>
            <w:webHidden/>
          </w:rPr>
        </w:r>
        <w:r w:rsidR="00DB028D">
          <w:rPr>
            <w:noProof/>
            <w:webHidden/>
          </w:rPr>
          <w:fldChar w:fldCharType="separate"/>
        </w:r>
        <w:r w:rsidR="008D6062">
          <w:rPr>
            <w:noProof/>
            <w:webHidden/>
          </w:rPr>
          <w:t>10</w:t>
        </w:r>
        <w:r w:rsidR="00DB028D">
          <w:rPr>
            <w:noProof/>
            <w:webHidden/>
          </w:rPr>
          <w:fldChar w:fldCharType="end"/>
        </w:r>
      </w:hyperlink>
    </w:p>
    <w:p w14:paraId="31053825" w14:textId="77777777" w:rsidR="00DB028D" w:rsidRDefault="005818B3">
      <w:pPr>
        <w:pStyle w:val="TableofFigures"/>
        <w:tabs>
          <w:tab w:val="right" w:leader="dot" w:pos="9350"/>
        </w:tabs>
        <w:rPr>
          <w:rFonts w:eastAsiaTheme="minorEastAsia"/>
          <w:noProof/>
        </w:rPr>
      </w:pPr>
      <w:hyperlink w:anchor="_Toc400532647" w:history="1">
        <w:r w:rsidR="00DB028D" w:rsidRPr="000A738F">
          <w:rPr>
            <w:rStyle w:val="Hyperlink"/>
            <w:noProof/>
          </w:rPr>
          <w:t>Figure 3: Sales of new LDVs in Morocco (Matthias Gasnier, 2014)</w:t>
        </w:r>
        <w:r w:rsidR="00DB028D">
          <w:rPr>
            <w:noProof/>
            <w:webHidden/>
          </w:rPr>
          <w:tab/>
        </w:r>
        <w:r w:rsidR="00DB028D">
          <w:rPr>
            <w:noProof/>
            <w:webHidden/>
          </w:rPr>
          <w:fldChar w:fldCharType="begin"/>
        </w:r>
        <w:r w:rsidR="00DB028D">
          <w:rPr>
            <w:noProof/>
            <w:webHidden/>
          </w:rPr>
          <w:instrText xml:space="preserve"> PAGEREF _Toc400532647 \h </w:instrText>
        </w:r>
        <w:r w:rsidR="00DB028D">
          <w:rPr>
            <w:noProof/>
            <w:webHidden/>
          </w:rPr>
        </w:r>
        <w:r w:rsidR="00DB028D">
          <w:rPr>
            <w:noProof/>
            <w:webHidden/>
          </w:rPr>
          <w:fldChar w:fldCharType="separate"/>
        </w:r>
        <w:r w:rsidR="008D6062">
          <w:rPr>
            <w:noProof/>
            <w:webHidden/>
          </w:rPr>
          <w:t>11</w:t>
        </w:r>
        <w:r w:rsidR="00DB028D">
          <w:rPr>
            <w:noProof/>
            <w:webHidden/>
          </w:rPr>
          <w:fldChar w:fldCharType="end"/>
        </w:r>
      </w:hyperlink>
    </w:p>
    <w:p w14:paraId="3047BFAE" w14:textId="77777777" w:rsidR="00DB028D" w:rsidRDefault="005818B3">
      <w:pPr>
        <w:pStyle w:val="TableofFigures"/>
        <w:tabs>
          <w:tab w:val="right" w:leader="dot" w:pos="9350"/>
        </w:tabs>
        <w:rPr>
          <w:rFonts w:eastAsiaTheme="minorEastAsia"/>
          <w:noProof/>
        </w:rPr>
      </w:pPr>
      <w:hyperlink w:anchor="_Toc400532648" w:history="1">
        <w:r w:rsidR="00DB028D" w:rsidRPr="000A738F">
          <w:rPr>
            <w:rStyle w:val="Hyperlink"/>
            <w:noProof/>
          </w:rPr>
          <w:t>Figure 4: Different averages for co2 emissions in Tunisia</w:t>
        </w:r>
        <w:r w:rsidR="00DB028D">
          <w:rPr>
            <w:noProof/>
            <w:webHidden/>
          </w:rPr>
          <w:tab/>
        </w:r>
        <w:r w:rsidR="00DB028D">
          <w:rPr>
            <w:noProof/>
            <w:webHidden/>
          </w:rPr>
          <w:fldChar w:fldCharType="begin"/>
        </w:r>
        <w:r w:rsidR="00DB028D">
          <w:rPr>
            <w:noProof/>
            <w:webHidden/>
          </w:rPr>
          <w:instrText xml:space="preserve"> PAGEREF _Toc400532648 \h </w:instrText>
        </w:r>
        <w:r w:rsidR="00DB028D">
          <w:rPr>
            <w:noProof/>
            <w:webHidden/>
          </w:rPr>
        </w:r>
        <w:r w:rsidR="00DB028D">
          <w:rPr>
            <w:noProof/>
            <w:webHidden/>
          </w:rPr>
          <w:fldChar w:fldCharType="separate"/>
        </w:r>
        <w:r w:rsidR="008D6062">
          <w:rPr>
            <w:noProof/>
            <w:webHidden/>
          </w:rPr>
          <w:t>13</w:t>
        </w:r>
        <w:r w:rsidR="00DB028D">
          <w:rPr>
            <w:noProof/>
            <w:webHidden/>
          </w:rPr>
          <w:fldChar w:fldCharType="end"/>
        </w:r>
      </w:hyperlink>
    </w:p>
    <w:p w14:paraId="4B9140B0" w14:textId="77777777" w:rsidR="00DB028D" w:rsidRDefault="005818B3">
      <w:pPr>
        <w:pStyle w:val="TableofFigures"/>
        <w:tabs>
          <w:tab w:val="right" w:leader="dot" w:pos="9350"/>
        </w:tabs>
        <w:rPr>
          <w:rFonts w:eastAsiaTheme="minorEastAsia"/>
          <w:noProof/>
        </w:rPr>
      </w:pPr>
      <w:hyperlink w:anchor="_Toc400532649" w:history="1">
        <w:r w:rsidR="00DB028D" w:rsidRPr="000A738F">
          <w:rPr>
            <w:rStyle w:val="Hyperlink"/>
            <w:noProof/>
          </w:rPr>
          <w:t>Figure 5: Different averages for diesel CO</w:t>
        </w:r>
        <w:r w:rsidR="00DB028D" w:rsidRPr="000A738F">
          <w:rPr>
            <w:rStyle w:val="Hyperlink"/>
            <w:noProof/>
            <w:vertAlign w:val="subscript"/>
          </w:rPr>
          <w:t>2</w:t>
        </w:r>
        <w:r w:rsidR="00DB028D" w:rsidRPr="000A738F">
          <w:rPr>
            <w:rStyle w:val="Hyperlink"/>
            <w:noProof/>
          </w:rPr>
          <w:t xml:space="preserve"> emissions in Tunisia</w:t>
        </w:r>
        <w:r w:rsidR="00DB028D">
          <w:rPr>
            <w:noProof/>
            <w:webHidden/>
          </w:rPr>
          <w:tab/>
        </w:r>
        <w:r w:rsidR="00DB028D">
          <w:rPr>
            <w:noProof/>
            <w:webHidden/>
          </w:rPr>
          <w:fldChar w:fldCharType="begin"/>
        </w:r>
        <w:r w:rsidR="00DB028D">
          <w:rPr>
            <w:noProof/>
            <w:webHidden/>
          </w:rPr>
          <w:instrText xml:space="preserve"> PAGEREF _Toc400532649 \h </w:instrText>
        </w:r>
        <w:r w:rsidR="00DB028D">
          <w:rPr>
            <w:noProof/>
            <w:webHidden/>
          </w:rPr>
        </w:r>
        <w:r w:rsidR="00DB028D">
          <w:rPr>
            <w:noProof/>
            <w:webHidden/>
          </w:rPr>
          <w:fldChar w:fldCharType="separate"/>
        </w:r>
        <w:r w:rsidR="008D6062">
          <w:rPr>
            <w:noProof/>
            <w:webHidden/>
          </w:rPr>
          <w:t>13</w:t>
        </w:r>
        <w:r w:rsidR="00DB028D">
          <w:rPr>
            <w:noProof/>
            <w:webHidden/>
          </w:rPr>
          <w:fldChar w:fldCharType="end"/>
        </w:r>
      </w:hyperlink>
    </w:p>
    <w:p w14:paraId="1E6B8EE9" w14:textId="77777777" w:rsidR="00DB028D" w:rsidRDefault="005818B3">
      <w:pPr>
        <w:pStyle w:val="TableofFigures"/>
        <w:tabs>
          <w:tab w:val="right" w:leader="dot" w:pos="9350"/>
        </w:tabs>
        <w:rPr>
          <w:rFonts w:eastAsiaTheme="minorEastAsia"/>
          <w:noProof/>
        </w:rPr>
      </w:pPr>
      <w:hyperlink w:anchor="_Toc400532650" w:history="1">
        <w:r w:rsidR="00DB028D" w:rsidRPr="000A738F">
          <w:rPr>
            <w:rStyle w:val="Hyperlink"/>
            <w:noProof/>
          </w:rPr>
          <w:t>Figure 6: Petrol fuel consumption for LDVs in Tunisa</w:t>
        </w:r>
        <w:r w:rsidR="00DB028D">
          <w:rPr>
            <w:noProof/>
            <w:webHidden/>
          </w:rPr>
          <w:tab/>
        </w:r>
        <w:r w:rsidR="00DB028D">
          <w:rPr>
            <w:noProof/>
            <w:webHidden/>
          </w:rPr>
          <w:fldChar w:fldCharType="begin"/>
        </w:r>
        <w:r w:rsidR="00DB028D">
          <w:rPr>
            <w:noProof/>
            <w:webHidden/>
          </w:rPr>
          <w:instrText xml:space="preserve"> PAGEREF _Toc400532650 \h </w:instrText>
        </w:r>
        <w:r w:rsidR="00DB028D">
          <w:rPr>
            <w:noProof/>
            <w:webHidden/>
          </w:rPr>
        </w:r>
        <w:r w:rsidR="00DB028D">
          <w:rPr>
            <w:noProof/>
            <w:webHidden/>
          </w:rPr>
          <w:fldChar w:fldCharType="separate"/>
        </w:r>
        <w:r w:rsidR="008D6062">
          <w:rPr>
            <w:noProof/>
            <w:webHidden/>
          </w:rPr>
          <w:t>14</w:t>
        </w:r>
        <w:r w:rsidR="00DB028D">
          <w:rPr>
            <w:noProof/>
            <w:webHidden/>
          </w:rPr>
          <w:fldChar w:fldCharType="end"/>
        </w:r>
      </w:hyperlink>
    </w:p>
    <w:p w14:paraId="1F56347F" w14:textId="77777777" w:rsidR="00DB028D" w:rsidRDefault="005818B3">
      <w:pPr>
        <w:pStyle w:val="TableofFigures"/>
        <w:tabs>
          <w:tab w:val="right" w:leader="dot" w:pos="9350"/>
        </w:tabs>
        <w:rPr>
          <w:rFonts w:eastAsiaTheme="minorEastAsia"/>
          <w:noProof/>
        </w:rPr>
      </w:pPr>
      <w:hyperlink w:anchor="_Toc400532651" w:history="1">
        <w:r w:rsidR="00DB028D" w:rsidRPr="000A738F">
          <w:rPr>
            <w:rStyle w:val="Hyperlink"/>
            <w:noProof/>
          </w:rPr>
          <w:t>Figure 7: Diesel fuel consumption for LDVs in Tunisia</w:t>
        </w:r>
        <w:r w:rsidR="00DB028D">
          <w:rPr>
            <w:noProof/>
            <w:webHidden/>
          </w:rPr>
          <w:tab/>
        </w:r>
        <w:r w:rsidR="00DB028D">
          <w:rPr>
            <w:noProof/>
            <w:webHidden/>
          </w:rPr>
          <w:fldChar w:fldCharType="begin"/>
        </w:r>
        <w:r w:rsidR="00DB028D">
          <w:rPr>
            <w:noProof/>
            <w:webHidden/>
          </w:rPr>
          <w:instrText xml:space="preserve"> PAGEREF _Toc400532651 \h </w:instrText>
        </w:r>
        <w:r w:rsidR="00DB028D">
          <w:rPr>
            <w:noProof/>
            <w:webHidden/>
          </w:rPr>
        </w:r>
        <w:r w:rsidR="00DB028D">
          <w:rPr>
            <w:noProof/>
            <w:webHidden/>
          </w:rPr>
          <w:fldChar w:fldCharType="separate"/>
        </w:r>
        <w:r w:rsidR="008D6062">
          <w:rPr>
            <w:noProof/>
            <w:webHidden/>
          </w:rPr>
          <w:t>14</w:t>
        </w:r>
        <w:r w:rsidR="00DB028D">
          <w:rPr>
            <w:noProof/>
            <w:webHidden/>
          </w:rPr>
          <w:fldChar w:fldCharType="end"/>
        </w:r>
      </w:hyperlink>
    </w:p>
    <w:p w14:paraId="4928BA49" w14:textId="77777777" w:rsidR="00DB028D" w:rsidRDefault="005818B3">
      <w:pPr>
        <w:pStyle w:val="TableofFigures"/>
        <w:tabs>
          <w:tab w:val="right" w:leader="dot" w:pos="9350"/>
        </w:tabs>
        <w:rPr>
          <w:rFonts w:eastAsiaTheme="minorEastAsia"/>
          <w:noProof/>
        </w:rPr>
      </w:pPr>
      <w:hyperlink w:anchor="_Toc400532652" w:history="1">
        <w:r w:rsidR="00DB028D" w:rsidRPr="000A738F">
          <w:rPr>
            <w:rStyle w:val="Hyperlink"/>
            <w:noProof/>
          </w:rPr>
          <w:t>Figure 8: Evolution of motor petrol consumption in Tunisia  (The globaleconomy.com, 2014)</w:t>
        </w:r>
        <w:r w:rsidR="00DB028D">
          <w:rPr>
            <w:noProof/>
            <w:webHidden/>
          </w:rPr>
          <w:tab/>
        </w:r>
        <w:r w:rsidR="00DB028D">
          <w:rPr>
            <w:noProof/>
            <w:webHidden/>
          </w:rPr>
          <w:fldChar w:fldCharType="begin"/>
        </w:r>
        <w:r w:rsidR="00DB028D">
          <w:rPr>
            <w:noProof/>
            <w:webHidden/>
          </w:rPr>
          <w:instrText xml:space="preserve"> PAGEREF _Toc400532652 \h </w:instrText>
        </w:r>
        <w:r w:rsidR="00DB028D">
          <w:rPr>
            <w:noProof/>
            <w:webHidden/>
          </w:rPr>
        </w:r>
        <w:r w:rsidR="00DB028D">
          <w:rPr>
            <w:noProof/>
            <w:webHidden/>
          </w:rPr>
          <w:fldChar w:fldCharType="separate"/>
        </w:r>
        <w:r w:rsidR="008D6062">
          <w:rPr>
            <w:noProof/>
            <w:webHidden/>
          </w:rPr>
          <w:t>18</w:t>
        </w:r>
        <w:r w:rsidR="00DB028D">
          <w:rPr>
            <w:noProof/>
            <w:webHidden/>
          </w:rPr>
          <w:fldChar w:fldCharType="end"/>
        </w:r>
      </w:hyperlink>
    </w:p>
    <w:p w14:paraId="3A7F6DAB" w14:textId="77777777" w:rsidR="009D59BD" w:rsidRDefault="00DB028D">
      <w:pPr>
        <w:rPr>
          <w:rFonts w:asciiTheme="majorBidi" w:hAnsiTheme="majorBidi" w:cstheme="majorBidi"/>
          <w:b/>
          <w:bCs/>
          <w:sz w:val="24"/>
          <w:szCs w:val="24"/>
        </w:rPr>
      </w:pPr>
      <w:r>
        <w:rPr>
          <w:rFonts w:asciiTheme="majorBidi" w:hAnsiTheme="majorBidi" w:cstheme="majorBidi"/>
          <w:b/>
          <w:bCs/>
          <w:sz w:val="24"/>
          <w:szCs w:val="24"/>
        </w:rPr>
        <w:fldChar w:fldCharType="end"/>
      </w:r>
    </w:p>
    <w:p w14:paraId="459F0938" w14:textId="77777777" w:rsidR="004D5381" w:rsidRDefault="004D5381">
      <w:pPr>
        <w:rPr>
          <w:rFonts w:asciiTheme="majorBidi" w:hAnsiTheme="majorBidi" w:cstheme="majorBidi"/>
          <w:b/>
          <w:bCs/>
          <w:sz w:val="24"/>
          <w:szCs w:val="24"/>
        </w:rPr>
      </w:pPr>
      <w:r>
        <w:rPr>
          <w:rFonts w:asciiTheme="majorBidi" w:hAnsiTheme="majorBidi" w:cstheme="majorBidi"/>
          <w:b/>
          <w:bCs/>
          <w:sz w:val="24"/>
          <w:szCs w:val="24"/>
        </w:rPr>
        <w:br w:type="page"/>
      </w:r>
    </w:p>
    <w:p w14:paraId="013189DB" w14:textId="77777777" w:rsidR="007C181E" w:rsidRDefault="007C181E" w:rsidP="009D59BD">
      <w:pPr>
        <w:pStyle w:val="Heading1"/>
      </w:pPr>
      <w:bookmarkStart w:id="1" w:name="_Toc400533322"/>
      <w:r>
        <w:lastRenderedPageBreak/>
        <w:t>Introduction.</w:t>
      </w:r>
      <w:bookmarkEnd w:id="1"/>
    </w:p>
    <w:p w14:paraId="6482483C" w14:textId="77777777" w:rsidR="00A54379" w:rsidRPr="00A54379" w:rsidRDefault="00A54379" w:rsidP="00A54379">
      <w:pPr>
        <w:rPr>
          <w:rFonts w:asciiTheme="majorBidi" w:hAnsiTheme="majorBidi" w:cstheme="majorBidi"/>
          <w:sz w:val="24"/>
          <w:szCs w:val="24"/>
        </w:rPr>
      </w:pPr>
      <w:r w:rsidRPr="00A54379">
        <w:rPr>
          <w:rFonts w:asciiTheme="majorBidi" w:hAnsiTheme="majorBidi" w:cstheme="majorBidi"/>
          <w:sz w:val="24"/>
          <w:szCs w:val="24"/>
        </w:rPr>
        <w:t>The transport sector is responsible for 27 % of the worl</w:t>
      </w:r>
      <w:r>
        <w:rPr>
          <w:rFonts w:asciiTheme="majorBidi" w:hAnsiTheme="majorBidi" w:cstheme="majorBidi"/>
          <w:sz w:val="24"/>
          <w:szCs w:val="24"/>
        </w:rPr>
        <w:t>d energy consumption (IEA, 2012</w:t>
      </w:r>
      <w:r w:rsidRPr="00A54379">
        <w:rPr>
          <w:rFonts w:asciiTheme="majorBidi" w:hAnsiTheme="majorBidi" w:cstheme="majorBidi"/>
          <w:sz w:val="24"/>
          <w:szCs w:val="24"/>
        </w:rPr>
        <w:t>). This proportion has increased from 23% in 1973 (IEA, 2011) and contributes to 22 % of total CO</w:t>
      </w:r>
      <w:r w:rsidRPr="00A54379">
        <w:rPr>
          <w:rFonts w:asciiTheme="majorBidi" w:hAnsiTheme="majorBidi" w:cstheme="majorBidi"/>
          <w:sz w:val="24"/>
          <w:szCs w:val="24"/>
          <w:vertAlign w:val="subscript"/>
        </w:rPr>
        <w:t>2</w:t>
      </w:r>
      <w:r>
        <w:rPr>
          <w:rFonts w:asciiTheme="majorBidi" w:hAnsiTheme="majorBidi" w:cstheme="majorBidi"/>
          <w:sz w:val="24"/>
          <w:szCs w:val="24"/>
        </w:rPr>
        <w:t xml:space="preserve"> emissions (IEA, 2012</w:t>
      </w:r>
      <w:r w:rsidRPr="00A54379">
        <w:rPr>
          <w:rFonts w:asciiTheme="majorBidi" w:hAnsiTheme="majorBidi" w:cstheme="majorBidi"/>
          <w:sz w:val="24"/>
          <w:szCs w:val="24"/>
        </w:rPr>
        <w:t xml:space="preserve">). </w:t>
      </w:r>
    </w:p>
    <w:p w14:paraId="751A100B" w14:textId="77777777" w:rsidR="00A54379" w:rsidRDefault="00F17510" w:rsidP="00A54379">
      <w:pPr>
        <w:rPr>
          <w:rFonts w:asciiTheme="majorBidi" w:hAnsiTheme="majorBidi" w:cstheme="majorBidi"/>
          <w:sz w:val="24"/>
          <w:szCs w:val="24"/>
        </w:rPr>
      </w:pPr>
      <w:r>
        <w:rPr>
          <w:rFonts w:asciiTheme="majorBidi" w:hAnsiTheme="majorBidi" w:cstheme="majorBidi"/>
          <w:sz w:val="24"/>
          <w:szCs w:val="24"/>
        </w:rPr>
        <w:t xml:space="preserve">  A</w:t>
      </w:r>
      <w:r w:rsidR="00A54379">
        <w:rPr>
          <w:rFonts w:asciiTheme="majorBidi" w:hAnsiTheme="majorBidi" w:cstheme="majorBidi"/>
          <w:sz w:val="24"/>
          <w:szCs w:val="24"/>
        </w:rPr>
        <w:t xml:space="preserve"> growi</w:t>
      </w:r>
      <w:r>
        <w:rPr>
          <w:rFonts w:asciiTheme="majorBidi" w:hAnsiTheme="majorBidi" w:cstheme="majorBidi"/>
          <w:sz w:val="24"/>
          <w:szCs w:val="24"/>
        </w:rPr>
        <w:t xml:space="preserve">ng international concern over </w:t>
      </w:r>
      <w:r w:rsidR="00A54379">
        <w:rPr>
          <w:rFonts w:asciiTheme="majorBidi" w:hAnsiTheme="majorBidi" w:cstheme="majorBidi"/>
          <w:sz w:val="24"/>
          <w:szCs w:val="24"/>
        </w:rPr>
        <w:t xml:space="preserve">climate change </w:t>
      </w:r>
      <w:r>
        <w:rPr>
          <w:rFonts w:asciiTheme="majorBidi" w:hAnsiTheme="majorBidi" w:cstheme="majorBidi"/>
          <w:sz w:val="24"/>
          <w:szCs w:val="24"/>
        </w:rPr>
        <w:t>induced by the burning of fossil fuels has been accelerating. Also the security and sustainability of oil supplies</w:t>
      </w:r>
      <w:r w:rsidR="002A32A2">
        <w:rPr>
          <w:rFonts w:asciiTheme="majorBidi" w:hAnsiTheme="majorBidi" w:cstheme="majorBidi"/>
          <w:sz w:val="24"/>
          <w:szCs w:val="24"/>
        </w:rPr>
        <w:t xml:space="preserve"> </w:t>
      </w:r>
      <w:proofErr w:type="gramStart"/>
      <w:r w:rsidR="002A32A2">
        <w:rPr>
          <w:rFonts w:asciiTheme="majorBidi" w:hAnsiTheme="majorBidi" w:cstheme="majorBidi"/>
          <w:sz w:val="24"/>
          <w:szCs w:val="24"/>
        </w:rPr>
        <w:t>are</w:t>
      </w:r>
      <w:proofErr w:type="gramEnd"/>
      <w:r w:rsidR="002A32A2">
        <w:rPr>
          <w:rFonts w:asciiTheme="majorBidi" w:hAnsiTheme="majorBidi" w:cstheme="majorBidi"/>
          <w:sz w:val="24"/>
          <w:szCs w:val="24"/>
        </w:rPr>
        <w:t xml:space="preserve"> </w:t>
      </w:r>
      <w:r>
        <w:rPr>
          <w:rFonts w:asciiTheme="majorBidi" w:hAnsiTheme="majorBidi" w:cstheme="majorBidi"/>
          <w:sz w:val="24"/>
          <w:szCs w:val="24"/>
        </w:rPr>
        <w:t xml:space="preserve">subject of growing global concerns.  In response to those challenges many countries all over the world are working on curbing oil consumption and finding alternative resources. That’s why many </w:t>
      </w:r>
      <w:r w:rsidR="00A54379" w:rsidRPr="00A54379">
        <w:rPr>
          <w:rFonts w:asciiTheme="majorBidi" w:hAnsiTheme="majorBidi" w:cstheme="majorBidi"/>
          <w:sz w:val="24"/>
          <w:szCs w:val="24"/>
        </w:rPr>
        <w:t>countries worldwide have</w:t>
      </w:r>
      <w:r>
        <w:rPr>
          <w:rFonts w:asciiTheme="majorBidi" w:hAnsiTheme="majorBidi" w:cstheme="majorBidi"/>
          <w:sz w:val="24"/>
          <w:szCs w:val="24"/>
        </w:rPr>
        <w:t xml:space="preserve"> introduced</w:t>
      </w:r>
      <w:r w:rsidR="00A54379" w:rsidRPr="00A54379">
        <w:rPr>
          <w:rFonts w:asciiTheme="majorBidi" w:hAnsiTheme="majorBidi" w:cstheme="majorBidi"/>
          <w:sz w:val="24"/>
          <w:szCs w:val="24"/>
        </w:rPr>
        <w:t xml:space="preserve"> fuel</w:t>
      </w:r>
      <w:r>
        <w:rPr>
          <w:rFonts w:asciiTheme="majorBidi" w:hAnsiTheme="majorBidi" w:cstheme="majorBidi"/>
          <w:sz w:val="24"/>
          <w:szCs w:val="24"/>
        </w:rPr>
        <w:t xml:space="preserve"> consumption/</w:t>
      </w:r>
      <w:r w:rsidR="00A54379" w:rsidRPr="00A54379">
        <w:rPr>
          <w:rFonts w:asciiTheme="majorBidi" w:hAnsiTheme="majorBidi" w:cstheme="majorBidi"/>
          <w:sz w:val="24"/>
          <w:szCs w:val="24"/>
        </w:rPr>
        <w:t xml:space="preserve"> economy or CO</w:t>
      </w:r>
      <w:r w:rsidR="00A54379" w:rsidRPr="00A54379">
        <w:rPr>
          <w:rFonts w:asciiTheme="majorBidi" w:hAnsiTheme="majorBidi" w:cstheme="majorBidi"/>
          <w:sz w:val="24"/>
          <w:szCs w:val="24"/>
          <w:vertAlign w:val="subscript"/>
        </w:rPr>
        <w:t>2</w:t>
      </w:r>
      <w:r>
        <w:rPr>
          <w:rFonts w:asciiTheme="majorBidi" w:hAnsiTheme="majorBidi" w:cstheme="majorBidi"/>
          <w:sz w:val="24"/>
          <w:szCs w:val="24"/>
        </w:rPr>
        <w:t xml:space="preserve"> emissions standards towards the end of improving vehicles energy efficiency</w:t>
      </w:r>
      <w:r w:rsidR="00A54379" w:rsidRPr="00A54379">
        <w:rPr>
          <w:rFonts w:asciiTheme="majorBidi" w:hAnsiTheme="majorBidi" w:cstheme="majorBidi"/>
          <w:sz w:val="24"/>
          <w:szCs w:val="24"/>
        </w:rPr>
        <w:t xml:space="preserve">. A number </w:t>
      </w:r>
      <w:r>
        <w:rPr>
          <w:rFonts w:asciiTheme="majorBidi" w:hAnsiTheme="majorBidi" w:cstheme="majorBidi"/>
          <w:sz w:val="24"/>
          <w:szCs w:val="24"/>
        </w:rPr>
        <w:t xml:space="preserve">of initiatives around the world have been </w:t>
      </w:r>
      <w:r w:rsidR="00A54379" w:rsidRPr="00A54379">
        <w:rPr>
          <w:rFonts w:asciiTheme="majorBidi" w:hAnsiTheme="majorBidi" w:cstheme="majorBidi"/>
          <w:sz w:val="24"/>
          <w:szCs w:val="24"/>
        </w:rPr>
        <w:t>introduced to help countries with regard</w:t>
      </w:r>
      <w:r>
        <w:rPr>
          <w:rFonts w:asciiTheme="majorBidi" w:hAnsiTheme="majorBidi" w:cstheme="majorBidi"/>
          <w:sz w:val="24"/>
          <w:szCs w:val="24"/>
        </w:rPr>
        <w:t xml:space="preserve"> to fuel efficiency/ economy standards</w:t>
      </w:r>
      <w:r w:rsidR="00A54379" w:rsidRPr="00A54379">
        <w:rPr>
          <w:rFonts w:asciiTheme="majorBidi" w:hAnsiTheme="majorBidi" w:cstheme="majorBidi"/>
          <w:sz w:val="24"/>
          <w:szCs w:val="24"/>
        </w:rPr>
        <w:t>. The Global Fuel Economy Initiative (GFEI) comes as an effort of five organizations</w:t>
      </w:r>
      <w:r w:rsidR="00A54379" w:rsidRPr="00A54379">
        <w:rPr>
          <w:rFonts w:asciiTheme="majorBidi" w:hAnsiTheme="majorBidi" w:cstheme="majorBidi"/>
          <w:sz w:val="24"/>
          <w:szCs w:val="24"/>
          <w:vertAlign w:val="superscript"/>
        </w:rPr>
        <w:footnoteReference w:id="1"/>
      </w:r>
      <w:r w:rsidR="00A54379" w:rsidRPr="00A54379">
        <w:rPr>
          <w:rFonts w:asciiTheme="majorBidi" w:hAnsiTheme="majorBidi" w:cstheme="majorBidi"/>
          <w:sz w:val="24"/>
          <w:szCs w:val="24"/>
        </w:rPr>
        <w:t xml:space="preserve"> to promote improvements in vehicle fuel economy. This initiative aims to achieve 50 % improvements by 2050 in all vehicles globally compared to that in the year 2005. The initiative’s main activities include: data development and analysis, policy support, an</w:t>
      </w:r>
      <w:r>
        <w:rPr>
          <w:rFonts w:asciiTheme="majorBidi" w:hAnsiTheme="majorBidi" w:cstheme="majorBidi"/>
          <w:sz w:val="24"/>
          <w:szCs w:val="24"/>
        </w:rPr>
        <w:t>d awareness raising (GFEI, 2013</w:t>
      </w:r>
      <w:r w:rsidR="00A54379" w:rsidRPr="00A54379">
        <w:rPr>
          <w:rFonts w:asciiTheme="majorBidi" w:hAnsiTheme="majorBidi" w:cstheme="majorBidi"/>
          <w:sz w:val="24"/>
          <w:szCs w:val="24"/>
        </w:rPr>
        <w:t>).</w:t>
      </w:r>
    </w:p>
    <w:p w14:paraId="03E67108" w14:textId="77777777" w:rsidR="00DC64AD" w:rsidRDefault="00DC64AD" w:rsidP="009D59BD">
      <w:pPr>
        <w:pStyle w:val="Heading2"/>
      </w:pPr>
      <w:bookmarkStart w:id="2" w:name="_Toc400533323"/>
      <w:r w:rsidRPr="00DC64AD">
        <w:t>Objectives</w:t>
      </w:r>
      <w:bookmarkEnd w:id="2"/>
    </w:p>
    <w:p w14:paraId="3A8AFD46" w14:textId="77777777" w:rsidR="00DC64AD" w:rsidRDefault="00DC64AD" w:rsidP="00A54379">
      <w:pPr>
        <w:rPr>
          <w:rFonts w:asciiTheme="majorBidi" w:hAnsiTheme="majorBidi" w:cstheme="majorBidi"/>
          <w:sz w:val="24"/>
          <w:szCs w:val="24"/>
        </w:rPr>
      </w:pPr>
      <w:r w:rsidRPr="00DC64AD">
        <w:rPr>
          <w:rFonts w:asciiTheme="majorBidi" w:hAnsiTheme="majorBidi" w:cstheme="majorBidi"/>
          <w:sz w:val="24"/>
          <w:szCs w:val="24"/>
        </w:rPr>
        <w:t xml:space="preserve">In line with the United Nations Environmental Program (UNEP) work on promoting sustainability </w:t>
      </w:r>
      <w:r>
        <w:rPr>
          <w:rFonts w:asciiTheme="majorBidi" w:hAnsiTheme="majorBidi" w:cstheme="majorBidi"/>
          <w:sz w:val="24"/>
          <w:szCs w:val="24"/>
        </w:rPr>
        <w:t>and the GFEI’s efforts in prompting the introduction of more energy efficient vehicles</w:t>
      </w:r>
      <w:r w:rsidR="002A32A2">
        <w:rPr>
          <w:rFonts w:asciiTheme="majorBidi" w:hAnsiTheme="majorBidi" w:cstheme="majorBidi"/>
          <w:sz w:val="24"/>
          <w:szCs w:val="24"/>
        </w:rPr>
        <w:t xml:space="preserve">, this report comes as </w:t>
      </w:r>
      <w:r>
        <w:rPr>
          <w:rFonts w:asciiTheme="majorBidi" w:hAnsiTheme="majorBidi" w:cstheme="majorBidi"/>
          <w:sz w:val="24"/>
          <w:szCs w:val="24"/>
        </w:rPr>
        <w:t xml:space="preserve">part of sequel aiming to analyze the status and trends of fuel consumption/economy standards in at least four Arab countries as the region still lacks fuel consumption/economy standards. This report </w:t>
      </w:r>
      <w:r w:rsidR="002A32A2">
        <w:rPr>
          <w:rFonts w:asciiTheme="majorBidi" w:hAnsiTheme="majorBidi" w:cstheme="majorBidi"/>
          <w:sz w:val="24"/>
          <w:szCs w:val="24"/>
        </w:rPr>
        <w:t xml:space="preserve">presents an analysis of the Tunisian case study and eventually comes out with a discussion on how to </w:t>
      </w:r>
      <w:r w:rsidR="00C63750">
        <w:rPr>
          <w:rFonts w:asciiTheme="majorBidi" w:hAnsiTheme="majorBidi" w:cstheme="majorBidi"/>
          <w:sz w:val="24"/>
          <w:szCs w:val="24"/>
        </w:rPr>
        <w:t xml:space="preserve">facilitate the introduction of </w:t>
      </w:r>
      <w:r w:rsidR="002A32A2">
        <w:rPr>
          <w:rFonts w:asciiTheme="majorBidi" w:hAnsiTheme="majorBidi" w:cstheme="majorBidi"/>
          <w:sz w:val="24"/>
          <w:szCs w:val="24"/>
        </w:rPr>
        <w:t xml:space="preserve">standards in Tunisia and the associated </w:t>
      </w:r>
      <w:r w:rsidR="00510671">
        <w:rPr>
          <w:rFonts w:asciiTheme="majorBidi" w:hAnsiTheme="majorBidi" w:cstheme="majorBidi"/>
          <w:sz w:val="24"/>
          <w:szCs w:val="24"/>
        </w:rPr>
        <w:t>recommendations</w:t>
      </w:r>
      <w:r w:rsidR="002A32A2">
        <w:rPr>
          <w:rFonts w:asciiTheme="majorBidi" w:hAnsiTheme="majorBidi" w:cstheme="majorBidi"/>
          <w:sz w:val="24"/>
          <w:szCs w:val="24"/>
        </w:rPr>
        <w:t>.</w:t>
      </w:r>
    </w:p>
    <w:p w14:paraId="01233735" w14:textId="77777777" w:rsidR="00510671" w:rsidRDefault="00510671" w:rsidP="009D59BD">
      <w:pPr>
        <w:pStyle w:val="Heading2"/>
      </w:pPr>
      <w:bookmarkStart w:id="3" w:name="_Toc400533324"/>
      <w:r w:rsidRPr="00510671">
        <w:t>Approach</w:t>
      </w:r>
      <w:bookmarkEnd w:id="3"/>
    </w:p>
    <w:p w14:paraId="3F099863" w14:textId="77777777" w:rsidR="00E37617" w:rsidRDefault="00D5566B" w:rsidP="00A54379">
      <w:pPr>
        <w:rPr>
          <w:rFonts w:asciiTheme="majorBidi" w:hAnsiTheme="majorBidi" w:cstheme="majorBidi"/>
          <w:sz w:val="24"/>
          <w:szCs w:val="24"/>
        </w:rPr>
      </w:pPr>
      <w:r>
        <w:rPr>
          <w:rFonts w:asciiTheme="majorBidi" w:hAnsiTheme="majorBidi" w:cstheme="majorBidi"/>
          <w:sz w:val="24"/>
          <w:szCs w:val="24"/>
        </w:rPr>
        <w:t>The report is about the trend patterns</w:t>
      </w:r>
      <w:r w:rsidRPr="00D5566B">
        <w:rPr>
          <w:rFonts w:asciiTheme="majorBidi" w:hAnsiTheme="majorBidi" w:cstheme="majorBidi"/>
          <w:sz w:val="24"/>
          <w:szCs w:val="24"/>
        </w:rPr>
        <w:t xml:space="preserve"> in fuel consumption/economy</w:t>
      </w:r>
      <w:r>
        <w:rPr>
          <w:rFonts w:asciiTheme="majorBidi" w:hAnsiTheme="majorBidi" w:cstheme="majorBidi"/>
          <w:sz w:val="24"/>
          <w:szCs w:val="24"/>
        </w:rPr>
        <w:t xml:space="preserve"> and CO</w:t>
      </w:r>
      <w:r>
        <w:rPr>
          <w:rFonts w:asciiTheme="majorBidi" w:hAnsiTheme="majorBidi" w:cstheme="majorBidi"/>
          <w:sz w:val="24"/>
          <w:szCs w:val="24"/>
          <w:vertAlign w:val="subscript"/>
        </w:rPr>
        <w:t>2</w:t>
      </w:r>
      <w:r>
        <w:rPr>
          <w:rFonts w:asciiTheme="majorBidi" w:hAnsiTheme="majorBidi" w:cstheme="majorBidi"/>
          <w:sz w:val="24"/>
          <w:szCs w:val="24"/>
        </w:rPr>
        <w:t xml:space="preserve"> emissions. </w:t>
      </w:r>
      <w:r w:rsidR="00E37617">
        <w:rPr>
          <w:rFonts w:asciiTheme="majorBidi" w:hAnsiTheme="majorBidi" w:cstheme="majorBidi"/>
          <w:sz w:val="24"/>
          <w:szCs w:val="24"/>
        </w:rPr>
        <w:t xml:space="preserve"> It views the status of emissions and fuel consumption through the lens of changing weighted averages for new Light Duty Vehicles (LDVs) for the years 2005, 2008, 2010 and 2012. Thus the report provides a sense of changing state of emissions and Fuel consumption in Tunisia</w:t>
      </w:r>
    </w:p>
    <w:p w14:paraId="6E27E747" w14:textId="77777777" w:rsidR="00E37617" w:rsidRPr="00E37617" w:rsidRDefault="00D5566B" w:rsidP="00A54379">
      <w:pPr>
        <w:rPr>
          <w:rFonts w:asciiTheme="majorBidi" w:hAnsiTheme="majorBidi" w:cstheme="majorBidi"/>
          <w:sz w:val="24"/>
          <w:szCs w:val="24"/>
        </w:rPr>
      </w:pPr>
      <w:r>
        <w:rPr>
          <w:rFonts w:asciiTheme="majorBidi" w:hAnsiTheme="majorBidi" w:cstheme="majorBidi"/>
          <w:sz w:val="24"/>
          <w:szCs w:val="24"/>
        </w:rPr>
        <w:t>Accordingly, figures for sales of new Light Duty vehicles</w:t>
      </w:r>
      <w:r w:rsidR="00DF325D">
        <w:rPr>
          <w:rFonts w:asciiTheme="majorBidi" w:hAnsiTheme="majorBidi" w:cstheme="majorBidi"/>
          <w:sz w:val="24"/>
          <w:szCs w:val="24"/>
        </w:rPr>
        <w:t xml:space="preserve"> have been obtained along with the</w:t>
      </w:r>
      <w:r>
        <w:rPr>
          <w:rFonts w:asciiTheme="majorBidi" w:hAnsiTheme="majorBidi" w:cstheme="majorBidi"/>
          <w:sz w:val="24"/>
          <w:szCs w:val="24"/>
        </w:rPr>
        <w:t xml:space="preserve"> </w:t>
      </w:r>
      <w:r w:rsidR="00E37617">
        <w:rPr>
          <w:rFonts w:asciiTheme="majorBidi" w:hAnsiTheme="majorBidi" w:cstheme="majorBidi"/>
          <w:sz w:val="24"/>
          <w:szCs w:val="24"/>
        </w:rPr>
        <w:t>official figures for CO</w:t>
      </w:r>
      <w:r w:rsidR="00E37617">
        <w:rPr>
          <w:rFonts w:asciiTheme="majorBidi" w:hAnsiTheme="majorBidi" w:cstheme="majorBidi"/>
          <w:sz w:val="24"/>
          <w:szCs w:val="24"/>
          <w:vertAlign w:val="subscript"/>
        </w:rPr>
        <w:t>2</w:t>
      </w:r>
      <w:r w:rsidR="00E37617">
        <w:rPr>
          <w:rFonts w:asciiTheme="majorBidi" w:hAnsiTheme="majorBidi" w:cstheme="majorBidi"/>
          <w:sz w:val="24"/>
          <w:szCs w:val="24"/>
        </w:rPr>
        <w:t xml:space="preserve"> emissions and fuel consumption for almost all the models</w:t>
      </w:r>
      <w:r w:rsidR="00DF325D">
        <w:rPr>
          <w:rFonts w:asciiTheme="majorBidi" w:hAnsiTheme="majorBidi" w:cstheme="majorBidi"/>
          <w:sz w:val="24"/>
          <w:szCs w:val="24"/>
        </w:rPr>
        <w:t xml:space="preserve">. Figures for total LDVs on the road for the study years have also been obtained to put the trends in perspective and to feed into the report’s discussion on improving fuel consumption/economy and the associated recommendations. </w:t>
      </w:r>
    </w:p>
    <w:p w14:paraId="0BE087E1" w14:textId="77777777" w:rsidR="00E46FB0" w:rsidRDefault="00DF325D" w:rsidP="00C77724">
      <w:pPr>
        <w:rPr>
          <w:rFonts w:asciiTheme="majorBidi" w:hAnsiTheme="majorBidi" w:cstheme="majorBidi"/>
          <w:sz w:val="24"/>
          <w:szCs w:val="24"/>
        </w:rPr>
      </w:pPr>
      <w:r>
        <w:rPr>
          <w:rFonts w:asciiTheme="majorBidi" w:hAnsiTheme="majorBidi" w:cstheme="majorBidi"/>
          <w:sz w:val="24"/>
          <w:szCs w:val="24"/>
        </w:rPr>
        <w:t>Figures for new LDV</w:t>
      </w:r>
      <w:r w:rsidR="00015FA9">
        <w:rPr>
          <w:rFonts w:asciiTheme="majorBidi" w:hAnsiTheme="majorBidi" w:cstheme="majorBidi"/>
          <w:sz w:val="24"/>
          <w:szCs w:val="24"/>
        </w:rPr>
        <w:t>s</w:t>
      </w:r>
      <w:r>
        <w:rPr>
          <w:rFonts w:asciiTheme="majorBidi" w:hAnsiTheme="majorBidi" w:cstheme="majorBidi"/>
          <w:sz w:val="24"/>
          <w:szCs w:val="24"/>
        </w:rPr>
        <w:t xml:space="preserve"> sales</w:t>
      </w:r>
      <w:r w:rsidR="00E46F3A">
        <w:rPr>
          <w:rFonts w:asciiTheme="majorBidi" w:hAnsiTheme="majorBidi" w:cstheme="majorBidi"/>
          <w:sz w:val="24"/>
          <w:szCs w:val="24"/>
        </w:rPr>
        <w:t xml:space="preserve"> in 2008, 2010 and 2012</w:t>
      </w:r>
      <w:r>
        <w:rPr>
          <w:rFonts w:asciiTheme="majorBidi" w:hAnsiTheme="majorBidi" w:cstheme="majorBidi"/>
          <w:sz w:val="24"/>
          <w:szCs w:val="24"/>
        </w:rPr>
        <w:t xml:space="preserve"> have been obtained from manuf</w:t>
      </w:r>
      <w:r w:rsidR="00E52CF4">
        <w:rPr>
          <w:rFonts w:asciiTheme="majorBidi" w:hAnsiTheme="majorBidi" w:cstheme="majorBidi"/>
          <w:sz w:val="24"/>
          <w:szCs w:val="24"/>
        </w:rPr>
        <w:t>acturers and were col</w:t>
      </w:r>
      <w:r>
        <w:rPr>
          <w:rFonts w:asciiTheme="majorBidi" w:hAnsiTheme="majorBidi" w:cstheme="majorBidi"/>
          <w:sz w:val="24"/>
          <w:szCs w:val="24"/>
        </w:rPr>
        <w:t>l</w:t>
      </w:r>
      <w:r w:rsidR="00E52CF4">
        <w:rPr>
          <w:rFonts w:asciiTheme="majorBidi" w:hAnsiTheme="majorBidi" w:cstheme="majorBidi"/>
          <w:sz w:val="24"/>
          <w:szCs w:val="24"/>
        </w:rPr>
        <w:t>ected by an</w:t>
      </w:r>
      <w:r>
        <w:rPr>
          <w:rFonts w:asciiTheme="majorBidi" w:hAnsiTheme="majorBidi" w:cstheme="majorBidi"/>
          <w:sz w:val="24"/>
          <w:szCs w:val="24"/>
        </w:rPr>
        <w:t xml:space="preserve"> aut</w:t>
      </w:r>
      <w:r w:rsidR="00EE512E">
        <w:rPr>
          <w:rFonts w:asciiTheme="majorBidi" w:hAnsiTheme="majorBidi" w:cstheme="majorBidi"/>
          <w:sz w:val="24"/>
          <w:szCs w:val="24"/>
        </w:rPr>
        <w:t>omotive markets consultant, Matthia</w:t>
      </w:r>
      <w:r>
        <w:rPr>
          <w:rFonts w:asciiTheme="majorBidi" w:hAnsiTheme="majorBidi" w:cstheme="majorBidi"/>
          <w:sz w:val="24"/>
          <w:szCs w:val="24"/>
        </w:rPr>
        <w:t xml:space="preserve">s Gasnier. </w:t>
      </w:r>
      <w:r w:rsidR="00EE512E">
        <w:rPr>
          <w:rFonts w:asciiTheme="majorBidi" w:hAnsiTheme="majorBidi" w:cstheme="majorBidi"/>
          <w:sz w:val="24"/>
          <w:szCs w:val="24"/>
        </w:rPr>
        <w:t xml:space="preserve"> For reliability, the figures were cross-checked with sample figures for new LDVS sales from IHS consulting as well as total figures of different model sales in Tunisia obtained from the International </w:t>
      </w:r>
      <w:r w:rsidR="00EE512E">
        <w:rPr>
          <w:rFonts w:asciiTheme="majorBidi" w:hAnsiTheme="majorBidi" w:cstheme="majorBidi"/>
          <w:sz w:val="24"/>
          <w:szCs w:val="24"/>
        </w:rPr>
        <w:lastRenderedPageBreak/>
        <w:t>Organization of Motor Vehicle Manufacturers (OICA). Further, figu</w:t>
      </w:r>
      <w:r w:rsidR="00E52CF4">
        <w:rPr>
          <w:rFonts w:asciiTheme="majorBidi" w:hAnsiTheme="majorBidi" w:cstheme="majorBidi"/>
          <w:sz w:val="24"/>
          <w:szCs w:val="24"/>
        </w:rPr>
        <w:t>res obtained from the Egyptian M</w:t>
      </w:r>
      <w:r w:rsidR="00EE512E">
        <w:rPr>
          <w:rFonts w:asciiTheme="majorBidi" w:hAnsiTheme="majorBidi" w:cstheme="majorBidi"/>
          <w:sz w:val="24"/>
          <w:szCs w:val="24"/>
        </w:rPr>
        <w:t>anufacturers Information Council (AMIC) were used as well in cross-checking</w:t>
      </w:r>
      <w:r w:rsidR="00E46FB0">
        <w:rPr>
          <w:rFonts w:asciiTheme="majorBidi" w:hAnsiTheme="majorBidi" w:cstheme="majorBidi"/>
          <w:sz w:val="24"/>
          <w:szCs w:val="24"/>
        </w:rPr>
        <w:t>.</w:t>
      </w:r>
      <w:r w:rsidR="00C77724">
        <w:rPr>
          <w:rFonts w:asciiTheme="majorBidi" w:hAnsiTheme="majorBidi" w:cstheme="majorBidi"/>
          <w:sz w:val="24"/>
          <w:szCs w:val="24"/>
        </w:rPr>
        <w:t xml:space="preserve"> </w:t>
      </w:r>
      <w:r w:rsidR="00BC7B0B">
        <w:rPr>
          <w:rFonts w:asciiTheme="majorBidi" w:hAnsiTheme="majorBidi" w:cstheme="majorBidi"/>
          <w:sz w:val="24"/>
          <w:szCs w:val="24"/>
        </w:rPr>
        <w:t xml:space="preserve">Data are </w:t>
      </w:r>
      <w:r w:rsidR="00E46FB0">
        <w:rPr>
          <w:rFonts w:asciiTheme="majorBidi" w:hAnsiTheme="majorBidi" w:cstheme="majorBidi"/>
          <w:sz w:val="24"/>
          <w:szCs w:val="24"/>
        </w:rPr>
        <w:t xml:space="preserve">classified by Vehicle’s </w:t>
      </w:r>
      <w:r w:rsidR="00D43336">
        <w:rPr>
          <w:rFonts w:asciiTheme="majorBidi" w:hAnsiTheme="majorBidi" w:cstheme="majorBidi"/>
          <w:sz w:val="24"/>
          <w:szCs w:val="24"/>
        </w:rPr>
        <w:t>make; model; fuel</w:t>
      </w:r>
      <w:r w:rsidR="00E46FB0">
        <w:rPr>
          <w:rFonts w:asciiTheme="majorBidi" w:hAnsiTheme="majorBidi" w:cstheme="majorBidi"/>
          <w:sz w:val="24"/>
          <w:szCs w:val="24"/>
        </w:rPr>
        <w:t xml:space="preserve"> type and engine size</w:t>
      </w:r>
      <w:r w:rsidR="00781E3F">
        <w:rPr>
          <w:rFonts w:asciiTheme="majorBidi" w:hAnsiTheme="majorBidi" w:cstheme="majorBidi"/>
          <w:sz w:val="24"/>
          <w:szCs w:val="24"/>
        </w:rPr>
        <w:t>.</w:t>
      </w:r>
    </w:p>
    <w:p w14:paraId="6D27A1B8" w14:textId="77777777" w:rsidR="005F4017" w:rsidRDefault="00E46F3A" w:rsidP="00E46F3A">
      <w:pPr>
        <w:rPr>
          <w:rFonts w:asciiTheme="majorBidi" w:hAnsiTheme="majorBidi" w:cstheme="majorBidi"/>
          <w:sz w:val="24"/>
          <w:szCs w:val="24"/>
        </w:rPr>
      </w:pPr>
      <w:r>
        <w:rPr>
          <w:rFonts w:asciiTheme="majorBidi" w:hAnsiTheme="majorBidi" w:cstheme="majorBidi"/>
          <w:sz w:val="24"/>
          <w:szCs w:val="24"/>
        </w:rPr>
        <w:t>The 2005 fi</w:t>
      </w:r>
      <w:r w:rsidR="00513C33">
        <w:rPr>
          <w:rFonts w:asciiTheme="majorBidi" w:hAnsiTheme="majorBidi" w:cstheme="majorBidi"/>
          <w:sz w:val="24"/>
          <w:szCs w:val="24"/>
        </w:rPr>
        <w:t xml:space="preserve">gures were estimated </w:t>
      </w:r>
      <w:r>
        <w:rPr>
          <w:rFonts w:asciiTheme="majorBidi" w:hAnsiTheme="majorBidi" w:cstheme="majorBidi"/>
          <w:sz w:val="24"/>
          <w:szCs w:val="24"/>
        </w:rPr>
        <w:t>based on certain characteristics of the Tunisian market</w:t>
      </w:r>
      <w:r w:rsidR="00513C33">
        <w:rPr>
          <w:rFonts w:asciiTheme="majorBidi" w:hAnsiTheme="majorBidi" w:cstheme="majorBidi"/>
          <w:sz w:val="24"/>
          <w:szCs w:val="24"/>
        </w:rPr>
        <w:t>,</w:t>
      </w:r>
      <w:r>
        <w:rPr>
          <w:rFonts w:asciiTheme="majorBidi" w:hAnsiTheme="majorBidi" w:cstheme="majorBidi"/>
          <w:sz w:val="24"/>
          <w:szCs w:val="24"/>
        </w:rPr>
        <w:t xml:space="preserve"> which is</w:t>
      </w:r>
      <w:r w:rsidRPr="00E46F3A">
        <w:rPr>
          <w:rFonts w:asciiTheme="majorBidi" w:hAnsiTheme="majorBidi" w:cstheme="majorBidi"/>
          <w:sz w:val="24"/>
          <w:szCs w:val="24"/>
        </w:rPr>
        <w:t xml:space="preserve"> unique in the world</w:t>
      </w:r>
      <w:r w:rsidR="00513C33">
        <w:rPr>
          <w:rFonts w:asciiTheme="majorBidi" w:hAnsiTheme="majorBidi" w:cstheme="majorBidi"/>
          <w:sz w:val="24"/>
          <w:szCs w:val="24"/>
        </w:rPr>
        <w:t>. The Tunisian market is in</w:t>
      </w:r>
      <w:r w:rsidRPr="00E46F3A">
        <w:rPr>
          <w:rFonts w:asciiTheme="majorBidi" w:hAnsiTheme="majorBidi" w:cstheme="majorBidi"/>
          <w:sz w:val="24"/>
          <w:szCs w:val="24"/>
        </w:rPr>
        <w:t>fluenced</w:t>
      </w:r>
      <w:r w:rsidR="00513C33">
        <w:rPr>
          <w:rFonts w:asciiTheme="majorBidi" w:hAnsiTheme="majorBidi" w:cstheme="majorBidi"/>
          <w:sz w:val="24"/>
          <w:szCs w:val="24"/>
        </w:rPr>
        <w:t xml:space="preserve"> for the most part</w:t>
      </w:r>
      <w:r w:rsidRPr="00E46F3A">
        <w:rPr>
          <w:rFonts w:asciiTheme="majorBidi" w:hAnsiTheme="majorBidi" w:cstheme="majorBidi"/>
          <w:sz w:val="24"/>
          <w:szCs w:val="24"/>
        </w:rPr>
        <w:t xml:space="preserve"> by import quotas dictated each year by the go</w:t>
      </w:r>
      <w:r>
        <w:rPr>
          <w:rFonts w:asciiTheme="majorBidi" w:hAnsiTheme="majorBidi" w:cstheme="majorBidi"/>
          <w:sz w:val="24"/>
          <w:szCs w:val="24"/>
        </w:rPr>
        <w:t>vernment.</w:t>
      </w:r>
      <w:r w:rsidR="00CD744B">
        <w:rPr>
          <w:rFonts w:asciiTheme="majorBidi" w:hAnsiTheme="majorBidi" w:cstheme="majorBidi"/>
          <w:sz w:val="24"/>
          <w:szCs w:val="24"/>
        </w:rPr>
        <w:t xml:space="preserve"> </w:t>
      </w:r>
      <w:r w:rsidRPr="00E46F3A">
        <w:rPr>
          <w:rFonts w:asciiTheme="majorBidi" w:hAnsiTheme="majorBidi" w:cstheme="majorBidi"/>
          <w:sz w:val="24"/>
          <w:szCs w:val="24"/>
        </w:rPr>
        <w:t>There is no local car manufacturing industry in Tunisia</w:t>
      </w:r>
      <w:r w:rsidR="00E57BBD">
        <w:rPr>
          <w:rFonts w:asciiTheme="majorBidi" w:hAnsiTheme="majorBidi" w:cstheme="majorBidi"/>
          <w:sz w:val="24"/>
          <w:szCs w:val="24"/>
        </w:rPr>
        <w:t>,</w:t>
      </w:r>
      <w:r w:rsidRPr="00E46F3A">
        <w:rPr>
          <w:rFonts w:asciiTheme="majorBidi" w:hAnsiTheme="majorBidi" w:cstheme="majorBidi"/>
          <w:sz w:val="24"/>
          <w:szCs w:val="24"/>
        </w:rPr>
        <w:t xml:space="preserve"> so 100% of cars sold in the country are imported, meaning the imp</w:t>
      </w:r>
      <w:r>
        <w:rPr>
          <w:rFonts w:asciiTheme="majorBidi" w:hAnsiTheme="majorBidi" w:cstheme="majorBidi"/>
          <w:sz w:val="24"/>
          <w:szCs w:val="24"/>
        </w:rPr>
        <w:t xml:space="preserve">ort quotas dictate for the most part </w:t>
      </w:r>
      <w:r w:rsidRPr="00E46F3A">
        <w:rPr>
          <w:rFonts w:asciiTheme="majorBidi" w:hAnsiTheme="majorBidi" w:cstheme="majorBidi"/>
          <w:sz w:val="24"/>
          <w:szCs w:val="24"/>
        </w:rPr>
        <w:t>the Tunisian new car market. This makes the Tunisian car market very predictable as its evolution is somehow disconnected to market forces and consumer taste</w:t>
      </w:r>
      <w:r>
        <w:rPr>
          <w:rFonts w:asciiTheme="majorBidi" w:hAnsiTheme="majorBidi" w:cstheme="majorBidi"/>
          <w:sz w:val="24"/>
          <w:szCs w:val="24"/>
        </w:rPr>
        <w:t xml:space="preserve">.  Accordingly, </w:t>
      </w:r>
      <w:r w:rsidRPr="00E46F3A">
        <w:rPr>
          <w:rFonts w:asciiTheme="majorBidi" w:hAnsiTheme="majorBidi" w:cstheme="majorBidi"/>
          <w:sz w:val="24"/>
          <w:szCs w:val="24"/>
        </w:rPr>
        <w:t>2005 figures were obtained taking into consideration a few long-term trends in the Tunisian new car market. These trends are as follows:       </w:t>
      </w:r>
    </w:p>
    <w:p w14:paraId="72AEF7E3" w14:textId="77777777" w:rsidR="005F4017" w:rsidRDefault="00E46F3A" w:rsidP="005F4017">
      <w:pPr>
        <w:pStyle w:val="ListParagraph"/>
        <w:numPr>
          <w:ilvl w:val="0"/>
          <w:numId w:val="5"/>
        </w:numPr>
        <w:rPr>
          <w:rFonts w:asciiTheme="majorBidi" w:hAnsiTheme="majorBidi" w:cstheme="majorBidi"/>
          <w:sz w:val="24"/>
          <w:szCs w:val="24"/>
        </w:rPr>
      </w:pPr>
      <w:r w:rsidRPr="00E46F3A">
        <w:rPr>
          <w:rFonts w:asciiTheme="majorBidi" w:hAnsiTheme="majorBidi" w:cstheme="majorBidi"/>
          <w:sz w:val="24"/>
          <w:szCs w:val="24"/>
        </w:rPr>
        <w:t>All estimated figures are taking into account 2005 total market sales data made available by the Tunisian government, which show a 29% overall increase between 2005 and 2008 </w:t>
      </w:r>
    </w:p>
    <w:p w14:paraId="18227B52" w14:textId="31D16CFE" w:rsidR="00E46F3A" w:rsidRPr="005F4017" w:rsidRDefault="005F4017" w:rsidP="005F4017">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 </w:t>
      </w:r>
      <w:r w:rsidR="00E46F3A" w:rsidRPr="005F4017">
        <w:rPr>
          <w:rFonts w:asciiTheme="majorBidi" w:hAnsiTheme="majorBidi" w:cstheme="majorBidi"/>
          <w:sz w:val="24"/>
          <w:szCs w:val="24"/>
        </w:rPr>
        <w:t xml:space="preserve">Increased fragmentation of the quotas allocated between 2005 and 2008 due to the increase in the number of brands and models allowed to be imported into Tunisia means the best-selling models had on average a larger market share in 2005 than they do in 2008 </w:t>
      </w:r>
    </w:p>
    <w:p w14:paraId="7DE1B9D3" w14:textId="683EAAD7" w:rsidR="00E46F3A" w:rsidRPr="005F4017" w:rsidRDefault="00E46F3A" w:rsidP="005F4017">
      <w:pPr>
        <w:pStyle w:val="ListParagraph"/>
        <w:numPr>
          <w:ilvl w:val="0"/>
          <w:numId w:val="5"/>
        </w:numPr>
        <w:rPr>
          <w:rFonts w:asciiTheme="majorBidi" w:hAnsiTheme="majorBidi" w:cstheme="majorBidi"/>
          <w:sz w:val="24"/>
          <w:szCs w:val="24"/>
        </w:rPr>
      </w:pPr>
      <w:r w:rsidRPr="00E46F3A">
        <w:rPr>
          <w:rFonts w:asciiTheme="majorBidi" w:hAnsiTheme="majorBidi" w:cstheme="majorBidi"/>
          <w:sz w:val="24"/>
          <w:szCs w:val="24"/>
        </w:rPr>
        <w:t>Some high selling brands like Dacia, Kia and Hyundai were only allowed import quotas from 2010 onwards, therefore their 2005 sales are nil.  </w:t>
      </w:r>
      <w:r w:rsidRPr="005F4017">
        <w:rPr>
          <w:rFonts w:asciiTheme="majorBidi" w:hAnsiTheme="majorBidi" w:cstheme="majorBidi"/>
          <w:sz w:val="24"/>
          <w:szCs w:val="24"/>
        </w:rPr>
        <w:t xml:space="preserve"> </w:t>
      </w:r>
    </w:p>
    <w:p w14:paraId="57A2C6F7" w14:textId="1F4FCB21" w:rsidR="00E46F3A" w:rsidRPr="00E46F3A" w:rsidRDefault="00E46F3A" w:rsidP="00E46F3A">
      <w:pPr>
        <w:pStyle w:val="ListParagraph"/>
        <w:numPr>
          <w:ilvl w:val="0"/>
          <w:numId w:val="5"/>
        </w:numPr>
        <w:rPr>
          <w:rFonts w:asciiTheme="majorBidi" w:hAnsiTheme="majorBidi" w:cstheme="majorBidi"/>
          <w:sz w:val="24"/>
          <w:szCs w:val="24"/>
        </w:rPr>
      </w:pPr>
      <w:r w:rsidRPr="00E46F3A">
        <w:rPr>
          <w:rFonts w:asciiTheme="majorBidi" w:hAnsiTheme="majorBidi" w:cstheme="majorBidi"/>
          <w:sz w:val="24"/>
          <w:szCs w:val="24"/>
        </w:rPr>
        <w:t>Long-term trend towards increased fragmentation of premium brands such as BMW means the Series 3 held a larger market share in 2005 than in the years following                                                                                               </w:t>
      </w:r>
      <w:r w:rsidR="005F4017">
        <w:rPr>
          <w:rFonts w:asciiTheme="majorBidi" w:hAnsiTheme="majorBidi" w:cstheme="majorBidi"/>
          <w:sz w:val="24"/>
          <w:szCs w:val="24"/>
        </w:rPr>
        <w:t>                           </w:t>
      </w:r>
    </w:p>
    <w:p w14:paraId="1AB7E08D" w14:textId="6B454815" w:rsidR="00E46F3A" w:rsidRPr="00E46F3A" w:rsidRDefault="00E46F3A" w:rsidP="00E46F3A">
      <w:pPr>
        <w:pStyle w:val="ListParagraph"/>
        <w:numPr>
          <w:ilvl w:val="0"/>
          <w:numId w:val="5"/>
        </w:numPr>
        <w:rPr>
          <w:rFonts w:asciiTheme="majorBidi" w:hAnsiTheme="majorBidi" w:cstheme="majorBidi"/>
          <w:sz w:val="24"/>
          <w:szCs w:val="24"/>
        </w:rPr>
      </w:pPr>
      <w:r w:rsidRPr="00E46F3A">
        <w:rPr>
          <w:rFonts w:asciiTheme="majorBidi" w:hAnsiTheme="majorBidi" w:cstheme="majorBidi"/>
          <w:sz w:val="24"/>
          <w:szCs w:val="24"/>
        </w:rPr>
        <w:t xml:space="preserve">Specific sales </w:t>
      </w:r>
      <w:r w:rsidR="005F4017" w:rsidRPr="00E46F3A">
        <w:rPr>
          <w:rFonts w:asciiTheme="majorBidi" w:hAnsiTheme="majorBidi" w:cstheme="majorBidi"/>
          <w:sz w:val="24"/>
          <w:szCs w:val="24"/>
        </w:rPr>
        <w:t>evolution takes</w:t>
      </w:r>
      <w:r w:rsidRPr="00E46F3A">
        <w:rPr>
          <w:rFonts w:asciiTheme="majorBidi" w:hAnsiTheme="majorBidi" w:cstheme="majorBidi"/>
          <w:sz w:val="24"/>
          <w:szCs w:val="24"/>
        </w:rPr>
        <w:t xml:space="preserve"> into account the launch date of some models and their 2005 sales are estimated based on the career stage these models were at in 2001. For example the Peugeot 307 launched in 2001 and the Peugeot 206 in 1998 meaning their sales peaked between 2003 and 2006 regardless of the evolution of the overall market                                                                                                                    </w:t>
      </w:r>
    </w:p>
    <w:p w14:paraId="1B2E4D81" w14:textId="77777777" w:rsidR="00E46F3A" w:rsidRPr="00E46F3A" w:rsidRDefault="00E46F3A" w:rsidP="00E46F3A">
      <w:pPr>
        <w:pStyle w:val="ListParagraph"/>
        <w:numPr>
          <w:ilvl w:val="0"/>
          <w:numId w:val="5"/>
        </w:numPr>
        <w:rPr>
          <w:rFonts w:asciiTheme="majorBidi" w:hAnsiTheme="majorBidi" w:cstheme="majorBidi"/>
          <w:sz w:val="24"/>
          <w:szCs w:val="24"/>
        </w:rPr>
      </w:pPr>
      <w:r w:rsidRPr="00E46F3A">
        <w:rPr>
          <w:rFonts w:asciiTheme="majorBidi" w:hAnsiTheme="majorBidi" w:cstheme="majorBidi"/>
          <w:sz w:val="24"/>
          <w:szCs w:val="24"/>
        </w:rPr>
        <w:t xml:space="preserve">Long-term decrease of Volkswagen's share of overall quotas in the country means their models had a larger share on average in 2005 than in the years following.                                                                                                                         </w:t>
      </w:r>
    </w:p>
    <w:p w14:paraId="5A5FFDE4" w14:textId="77777777" w:rsidR="00E46F3A" w:rsidRPr="00E46F3A" w:rsidRDefault="00E46F3A" w:rsidP="00E57BBD">
      <w:pPr>
        <w:pStyle w:val="ListParagraph"/>
        <w:numPr>
          <w:ilvl w:val="0"/>
          <w:numId w:val="5"/>
        </w:numPr>
        <w:rPr>
          <w:rFonts w:asciiTheme="majorBidi" w:hAnsiTheme="majorBidi" w:cstheme="majorBidi"/>
          <w:sz w:val="24"/>
          <w:szCs w:val="24"/>
        </w:rPr>
      </w:pPr>
      <w:r w:rsidRPr="00E46F3A">
        <w:rPr>
          <w:rFonts w:asciiTheme="majorBidi" w:hAnsiTheme="majorBidi" w:cstheme="majorBidi"/>
          <w:sz w:val="24"/>
          <w:szCs w:val="24"/>
        </w:rPr>
        <w:t xml:space="preserve">Long-term observed trend towards a weaker share of quotas for Commercial Vehicles means models such as the Peugeot Partner or Citroen Berlingo had a larger share of the </w:t>
      </w:r>
      <w:r w:rsidR="00E57BBD">
        <w:rPr>
          <w:rFonts w:asciiTheme="majorBidi" w:hAnsiTheme="majorBidi" w:cstheme="majorBidi"/>
          <w:sz w:val="24"/>
          <w:szCs w:val="24"/>
        </w:rPr>
        <w:t xml:space="preserve">  </w:t>
      </w:r>
      <w:r w:rsidRPr="00E46F3A">
        <w:rPr>
          <w:rFonts w:asciiTheme="majorBidi" w:hAnsiTheme="majorBidi" w:cstheme="majorBidi"/>
          <w:sz w:val="24"/>
          <w:szCs w:val="24"/>
        </w:rPr>
        <w:t>Tunisian m</w:t>
      </w:r>
      <w:r w:rsidR="00E57BBD">
        <w:rPr>
          <w:rFonts w:asciiTheme="majorBidi" w:hAnsiTheme="majorBidi" w:cstheme="majorBidi"/>
          <w:sz w:val="24"/>
          <w:szCs w:val="24"/>
        </w:rPr>
        <w:t>arket in 2005</w:t>
      </w:r>
    </w:p>
    <w:p w14:paraId="0E74CE37" w14:textId="2399B64B" w:rsidR="00E46F3A" w:rsidRPr="005F4017" w:rsidRDefault="00E46F3A" w:rsidP="00A54379">
      <w:pPr>
        <w:pStyle w:val="ListParagraph"/>
        <w:numPr>
          <w:ilvl w:val="0"/>
          <w:numId w:val="5"/>
        </w:numPr>
        <w:rPr>
          <w:rFonts w:asciiTheme="majorBidi" w:hAnsiTheme="majorBidi" w:cstheme="majorBidi"/>
          <w:sz w:val="24"/>
          <w:szCs w:val="24"/>
        </w:rPr>
      </w:pPr>
      <w:r w:rsidRPr="00E46F3A">
        <w:rPr>
          <w:rFonts w:asciiTheme="majorBidi" w:hAnsiTheme="majorBidi" w:cstheme="majorBidi"/>
          <w:sz w:val="24"/>
          <w:szCs w:val="24"/>
        </w:rPr>
        <w:t>The estimated margin of error for each 2005 sales figure is +/20%</w:t>
      </w:r>
    </w:p>
    <w:p w14:paraId="3217D0F9" w14:textId="77777777" w:rsidR="00A84B26" w:rsidRDefault="00E57BBD" w:rsidP="00A54379">
      <w:pPr>
        <w:rPr>
          <w:rFonts w:asciiTheme="majorBidi" w:hAnsiTheme="majorBidi" w:cstheme="majorBidi"/>
          <w:sz w:val="24"/>
          <w:szCs w:val="24"/>
        </w:rPr>
      </w:pPr>
      <w:r>
        <w:rPr>
          <w:rFonts w:asciiTheme="majorBidi" w:hAnsiTheme="majorBidi" w:cstheme="majorBidi"/>
          <w:sz w:val="24"/>
          <w:szCs w:val="24"/>
        </w:rPr>
        <w:t>M</w:t>
      </w:r>
      <w:r w:rsidR="00D5566B">
        <w:rPr>
          <w:rFonts w:asciiTheme="majorBidi" w:hAnsiTheme="majorBidi" w:cstheme="majorBidi"/>
          <w:sz w:val="24"/>
          <w:szCs w:val="24"/>
        </w:rPr>
        <w:t>anufacturers’ specifications manual and compilations of the Fr</w:t>
      </w:r>
      <w:r w:rsidR="00A84B26">
        <w:rPr>
          <w:rFonts w:asciiTheme="majorBidi" w:hAnsiTheme="majorBidi" w:cstheme="majorBidi"/>
          <w:sz w:val="24"/>
          <w:szCs w:val="24"/>
        </w:rPr>
        <w:t>ench Environment and Energy Management A</w:t>
      </w:r>
      <w:r w:rsidR="00D5566B">
        <w:rPr>
          <w:rFonts w:asciiTheme="majorBidi" w:hAnsiTheme="majorBidi" w:cstheme="majorBidi"/>
          <w:sz w:val="24"/>
          <w:szCs w:val="24"/>
        </w:rPr>
        <w:t>gency</w:t>
      </w:r>
      <w:r>
        <w:rPr>
          <w:rFonts w:asciiTheme="majorBidi" w:hAnsiTheme="majorBidi" w:cstheme="majorBidi"/>
          <w:sz w:val="24"/>
          <w:szCs w:val="24"/>
        </w:rPr>
        <w:t xml:space="preserve"> (</w:t>
      </w:r>
      <w:proofErr w:type="spellStart"/>
      <w:r>
        <w:rPr>
          <w:rFonts w:asciiTheme="majorBidi" w:hAnsiTheme="majorBidi" w:cstheme="majorBidi"/>
          <w:sz w:val="24"/>
          <w:szCs w:val="24"/>
        </w:rPr>
        <w:t>Ademe</w:t>
      </w:r>
      <w:proofErr w:type="spellEnd"/>
      <w:r>
        <w:rPr>
          <w:rFonts w:asciiTheme="majorBidi" w:hAnsiTheme="majorBidi" w:cstheme="majorBidi"/>
          <w:sz w:val="24"/>
          <w:szCs w:val="24"/>
        </w:rPr>
        <w:t>)</w:t>
      </w:r>
      <w:r w:rsidR="00D5566B">
        <w:rPr>
          <w:rFonts w:asciiTheme="majorBidi" w:hAnsiTheme="majorBidi" w:cstheme="majorBidi"/>
          <w:sz w:val="24"/>
          <w:szCs w:val="24"/>
        </w:rPr>
        <w:t xml:space="preserve"> </w:t>
      </w:r>
      <w:r>
        <w:rPr>
          <w:rFonts w:asciiTheme="majorBidi" w:hAnsiTheme="majorBidi" w:cstheme="majorBidi"/>
          <w:sz w:val="24"/>
          <w:szCs w:val="24"/>
        </w:rPr>
        <w:t>have been used to arrive at the manufacturers’ labeled figures for fuel consumption/economy and CO</w:t>
      </w:r>
      <w:r>
        <w:rPr>
          <w:rFonts w:asciiTheme="majorBidi" w:hAnsiTheme="majorBidi" w:cstheme="majorBidi"/>
          <w:sz w:val="24"/>
          <w:szCs w:val="24"/>
          <w:vertAlign w:val="subscript"/>
        </w:rPr>
        <w:t>2</w:t>
      </w:r>
      <w:r>
        <w:rPr>
          <w:rFonts w:asciiTheme="majorBidi" w:hAnsiTheme="majorBidi" w:cstheme="majorBidi"/>
          <w:sz w:val="24"/>
          <w:szCs w:val="24"/>
        </w:rPr>
        <w:t xml:space="preserve"> emissions.</w:t>
      </w:r>
      <w:r w:rsidR="004A2978">
        <w:rPr>
          <w:rFonts w:asciiTheme="majorBidi" w:hAnsiTheme="majorBidi" w:cstheme="majorBidi"/>
          <w:sz w:val="24"/>
          <w:szCs w:val="24"/>
        </w:rPr>
        <w:t xml:space="preserve"> Then G</w:t>
      </w:r>
      <w:r w:rsidR="00BC7B0B">
        <w:rPr>
          <w:rFonts w:asciiTheme="majorBidi" w:hAnsiTheme="majorBidi" w:cstheme="majorBidi"/>
          <w:sz w:val="24"/>
          <w:szCs w:val="24"/>
        </w:rPr>
        <w:t>FEI methodology (GFEI, 2014) has been</w:t>
      </w:r>
      <w:r w:rsidR="004A2978">
        <w:rPr>
          <w:rFonts w:asciiTheme="majorBidi" w:hAnsiTheme="majorBidi" w:cstheme="majorBidi"/>
          <w:sz w:val="24"/>
          <w:szCs w:val="24"/>
        </w:rPr>
        <w:t xml:space="preserve"> used in calcu</w:t>
      </w:r>
      <w:r w:rsidR="00783FE7">
        <w:rPr>
          <w:rFonts w:asciiTheme="majorBidi" w:hAnsiTheme="majorBidi" w:cstheme="majorBidi"/>
          <w:sz w:val="24"/>
          <w:szCs w:val="24"/>
        </w:rPr>
        <w:t>lating the weighted harmonic average</w:t>
      </w:r>
      <w:r w:rsidR="004A2978">
        <w:rPr>
          <w:rFonts w:asciiTheme="majorBidi" w:hAnsiTheme="majorBidi" w:cstheme="majorBidi"/>
          <w:sz w:val="24"/>
          <w:szCs w:val="24"/>
        </w:rPr>
        <w:t xml:space="preserve"> </w:t>
      </w:r>
      <w:r w:rsidR="00A84B26">
        <w:rPr>
          <w:rFonts w:asciiTheme="majorBidi" w:hAnsiTheme="majorBidi" w:cstheme="majorBidi"/>
          <w:sz w:val="24"/>
          <w:szCs w:val="24"/>
        </w:rPr>
        <w:t xml:space="preserve">annual </w:t>
      </w:r>
      <w:r w:rsidR="004A2978">
        <w:rPr>
          <w:rFonts w:asciiTheme="majorBidi" w:hAnsiTheme="majorBidi" w:cstheme="majorBidi"/>
          <w:sz w:val="24"/>
          <w:szCs w:val="24"/>
        </w:rPr>
        <w:t>fuel consumption</w:t>
      </w:r>
      <w:r w:rsidR="00783FE7">
        <w:rPr>
          <w:rFonts w:asciiTheme="majorBidi" w:hAnsiTheme="majorBidi" w:cstheme="majorBidi"/>
          <w:sz w:val="24"/>
          <w:szCs w:val="24"/>
        </w:rPr>
        <w:t>/economy</w:t>
      </w:r>
      <w:r w:rsidR="004A2978">
        <w:rPr>
          <w:rFonts w:asciiTheme="majorBidi" w:hAnsiTheme="majorBidi" w:cstheme="majorBidi"/>
          <w:sz w:val="24"/>
          <w:szCs w:val="24"/>
        </w:rPr>
        <w:t xml:space="preserve">, and the weighted </w:t>
      </w:r>
      <w:r w:rsidR="00A84B26">
        <w:rPr>
          <w:rFonts w:asciiTheme="majorBidi" w:hAnsiTheme="majorBidi" w:cstheme="majorBidi"/>
          <w:sz w:val="24"/>
          <w:szCs w:val="24"/>
        </w:rPr>
        <w:t>average annual CO</w:t>
      </w:r>
      <w:r w:rsidR="00A84B26">
        <w:rPr>
          <w:rFonts w:asciiTheme="majorBidi" w:hAnsiTheme="majorBidi" w:cstheme="majorBidi"/>
          <w:sz w:val="24"/>
          <w:szCs w:val="24"/>
          <w:vertAlign w:val="subscript"/>
        </w:rPr>
        <w:t>2</w:t>
      </w:r>
      <w:r w:rsidR="00A84B26">
        <w:rPr>
          <w:rFonts w:asciiTheme="majorBidi" w:hAnsiTheme="majorBidi" w:cstheme="majorBidi"/>
          <w:sz w:val="24"/>
          <w:szCs w:val="24"/>
        </w:rPr>
        <w:t xml:space="preserve"> emissions:</w:t>
      </w:r>
    </w:p>
    <w:p w14:paraId="56B8B4C0" w14:textId="77777777" w:rsidR="00D5566B" w:rsidRDefault="00A84B26" w:rsidP="00A54379">
      <w:pP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23545BCD" wp14:editId="7652928C">
            <wp:extent cx="4115435" cy="426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5435" cy="426720"/>
                    </a:xfrm>
                    <a:prstGeom prst="rect">
                      <a:avLst/>
                    </a:prstGeom>
                    <a:noFill/>
                  </pic:spPr>
                </pic:pic>
              </a:graphicData>
            </a:graphic>
          </wp:inline>
        </w:drawing>
      </w:r>
    </w:p>
    <w:p w14:paraId="68C252A2" w14:textId="5AF33023" w:rsidR="00A84B26" w:rsidRPr="00A84B26" w:rsidRDefault="00A84B26" w:rsidP="00A54379">
      <w:pP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14:anchorId="58CD0536" wp14:editId="4C4DC84D">
            <wp:extent cx="4115435" cy="3721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5435" cy="372110"/>
                    </a:xfrm>
                    <a:prstGeom prst="rect">
                      <a:avLst/>
                    </a:prstGeom>
                    <a:noFill/>
                  </pic:spPr>
                </pic:pic>
              </a:graphicData>
            </a:graphic>
          </wp:inline>
        </w:drawing>
      </w:r>
    </w:p>
    <w:p w14:paraId="651AB970" w14:textId="683D2C5D" w:rsidR="00456576" w:rsidRPr="00456576" w:rsidRDefault="00BC7B0B" w:rsidP="00A54379">
      <w:pPr>
        <w:rPr>
          <w:rFonts w:asciiTheme="majorBidi" w:hAnsiTheme="majorBidi" w:cstheme="majorBidi"/>
          <w:sz w:val="24"/>
          <w:szCs w:val="24"/>
        </w:rPr>
      </w:pPr>
      <w:r w:rsidRPr="00456576">
        <w:rPr>
          <w:rFonts w:asciiTheme="majorBidi" w:hAnsiTheme="majorBidi" w:cstheme="majorBidi"/>
          <w:sz w:val="24"/>
          <w:szCs w:val="24"/>
        </w:rPr>
        <w:t xml:space="preserve">The </w:t>
      </w:r>
      <w:r w:rsidR="00DB028D" w:rsidRPr="00456576">
        <w:rPr>
          <w:rFonts w:asciiTheme="majorBidi" w:hAnsiTheme="majorBidi" w:cstheme="majorBidi"/>
          <w:sz w:val="24"/>
          <w:szCs w:val="24"/>
        </w:rPr>
        <w:t>definition of the GFEI for LDVs has</w:t>
      </w:r>
      <w:r w:rsidR="00EE0919" w:rsidRPr="00456576">
        <w:rPr>
          <w:rFonts w:asciiTheme="majorBidi" w:hAnsiTheme="majorBidi" w:cstheme="majorBidi"/>
          <w:sz w:val="24"/>
          <w:szCs w:val="24"/>
        </w:rPr>
        <w:t xml:space="preserve"> been used in deciding on the vehicles to be included in the report study</w:t>
      </w:r>
      <w:r w:rsidR="007E1149">
        <w:rPr>
          <w:rFonts w:asciiTheme="majorBidi" w:hAnsiTheme="majorBidi" w:cstheme="majorBidi"/>
          <w:sz w:val="24"/>
          <w:szCs w:val="24"/>
        </w:rPr>
        <w:t xml:space="preserve"> (GFEI, 2014</w:t>
      </w:r>
      <w:r w:rsidR="00456576">
        <w:rPr>
          <w:rFonts w:asciiTheme="majorBidi" w:hAnsiTheme="majorBidi" w:cstheme="majorBidi"/>
          <w:sz w:val="24"/>
          <w:szCs w:val="24"/>
        </w:rPr>
        <w:t>)</w:t>
      </w:r>
      <w:r w:rsidR="00EE0919" w:rsidRPr="00456576">
        <w:rPr>
          <w:rFonts w:asciiTheme="majorBidi" w:hAnsiTheme="majorBidi" w:cstheme="majorBidi"/>
          <w:sz w:val="24"/>
          <w:szCs w:val="24"/>
        </w:rPr>
        <w:t>. The definition is as follows:</w:t>
      </w:r>
    </w:p>
    <w:p w14:paraId="4D48E64A" w14:textId="3E8AA733" w:rsidR="00DB028D" w:rsidRDefault="00DB028D" w:rsidP="005F4017">
      <w:pPr>
        <w:pStyle w:val="Caption"/>
        <w:keepNext/>
        <w:jc w:val="center"/>
      </w:pPr>
      <w:r>
        <w:t xml:space="preserve">Table </w:t>
      </w:r>
      <w:r w:rsidR="005818B3">
        <w:fldChar w:fldCharType="begin"/>
      </w:r>
      <w:r w:rsidR="005818B3">
        <w:instrText xml:space="preserve"> SEQ Table \* ARABIC </w:instrText>
      </w:r>
      <w:r w:rsidR="005818B3">
        <w:fldChar w:fldCharType="separate"/>
      </w:r>
      <w:r>
        <w:rPr>
          <w:noProof/>
        </w:rPr>
        <w:t>1</w:t>
      </w:r>
      <w:r w:rsidR="005818B3">
        <w:rPr>
          <w:noProof/>
        </w:rPr>
        <w:fldChar w:fldCharType="end"/>
      </w:r>
      <w:r>
        <w:t>: The GFEI definition of LDVs</w:t>
      </w:r>
    </w:p>
    <w:tbl>
      <w:tblPr>
        <w:tblStyle w:val="LightList1"/>
        <w:tblW w:w="0" w:type="auto"/>
        <w:jc w:val="center"/>
        <w:tblInd w:w="108" w:type="dxa"/>
        <w:tblLook w:val="04A0" w:firstRow="1" w:lastRow="0" w:firstColumn="1" w:lastColumn="0" w:noHBand="0" w:noVBand="1"/>
      </w:tblPr>
      <w:tblGrid>
        <w:gridCol w:w="5938"/>
        <w:gridCol w:w="3191"/>
      </w:tblGrid>
      <w:tr w:rsidR="00EE0919" w:rsidRPr="00751FBF" w14:paraId="016A9D9F" w14:textId="77777777" w:rsidTr="005F40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6" w:type="dxa"/>
            <w:hideMark/>
          </w:tcPr>
          <w:p w14:paraId="00B7853F" w14:textId="77777777" w:rsidR="00EE0919" w:rsidRPr="00751FBF" w:rsidRDefault="00EE0919" w:rsidP="009B3EDF">
            <w:pPr>
              <w:jc w:val="center"/>
              <w:rPr>
                <w:rFonts w:eastAsia="Times New Roman" w:cs="Times New Roman"/>
                <w:sz w:val="20"/>
                <w:szCs w:val="20"/>
              </w:rPr>
            </w:pPr>
            <w:r w:rsidRPr="00751FBF">
              <w:rPr>
                <w:rFonts w:eastAsia="Times New Roman" w:cs="Times New Roman"/>
                <w:sz w:val="20"/>
                <w:szCs w:val="20"/>
              </w:rPr>
              <w:t>Vehicle Segment</w:t>
            </w:r>
          </w:p>
        </w:tc>
        <w:tc>
          <w:tcPr>
            <w:tcW w:w="3260" w:type="dxa"/>
            <w:hideMark/>
          </w:tcPr>
          <w:p w14:paraId="1B7F65A1" w14:textId="77777777" w:rsidR="00EE0919" w:rsidRPr="00751FBF" w:rsidRDefault="00EE0919" w:rsidP="009B3ED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751FBF">
              <w:rPr>
                <w:rFonts w:eastAsia="Times New Roman" w:cs="Times New Roman"/>
                <w:sz w:val="20"/>
                <w:szCs w:val="20"/>
              </w:rPr>
              <w:t>Examples</w:t>
            </w:r>
          </w:p>
        </w:tc>
      </w:tr>
      <w:tr w:rsidR="00EE0919" w:rsidRPr="00EC09A7" w14:paraId="1D0368EE" w14:textId="77777777" w:rsidTr="005F4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6" w:type="dxa"/>
            <w:hideMark/>
          </w:tcPr>
          <w:p w14:paraId="722D8A5A" w14:textId="77777777" w:rsidR="00EE0919" w:rsidRPr="00E67D02" w:rsidRDefault="00EE0919" w:rsidP="009B3EDF">
            <w:pPr>
              <w:rPr>
                <w:rFonts w:eastAsia="Times New Roman" w:cs="Times New Roman"/>
                <w:color w:val="444444"/>
                <w:sz w:val="20"/>
                <w:szCs w:val="20"/>
              </w:rPr>
            </w:pPr>
            <w:r w:rsidRPr="00E67D02">
              <w:rPr>
                <w:rFonts w:eastAsia="Times New Roman" w:cs="Times New Roman"/>
                <w:color w:val="444444"/>
                <w:sz w:val="20"/>
                <w:szCs w:val="20"/>
              </w:rPr>
              <w:t>A: Mini / Micro / Small town car</w:t>
            </w:r>
            <w:r w:rsidRPr="00E67D02">
              <w:rPr>
                <w:rFonts w:eastAsia="Times New Roman" w:cs="Times New Roman"/>
                <w:color w:val="444444"/>
                <w:sz w:val="20"/>
                <w:szCs w:val="20"/>
              </w:rPr>
              <w:br/>
            </w:r>
            <w:r w:rsidRPr="00E67D02">
              <w:rPr>
                <w:rFonts w:eastAsia="Times New Roman" w:cs="Times New Roman"/>
                <w:i/>
                <w:iCs/>
                <w:color w:val="444444"/>
                <w:sz w:val="20"/>
                <w:szCs w:val="20"/>
              </w:rPr>
              <w:t>Smallest cars, with a length between 2.50m to 3.60m.</w:t>
            </w:r>
          </w:p>
        </w:tc>
        <w:tc>
          <w:tcPr>
            <w:tcW w:w="3260" w:type="dxa"/>
            <w:hideMark/>
          </w:tcPr>
          <w:p w14:paraId="58219FFC" w14:textId="77777777" w:rsidR="00EE0919" w:rsidRPr="003639EC" w:rsidRDefault="00EE0919" w:rsidP="009B3ED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444444"/>
                <w:sz w:val="20"/>
                <w:szCs w:val="20"/>
                <w:lang w:val="sv-SE"/>
              </w:rPr>
            </w:pPr>
            <w:r w:rsidRPr="003639EC">
              <w:rPr>
                <w:rFonts w:eastAsia="Times New Roman" w:cs="Times New Roman"/>
                <w:color w:val="444444"/>
                <w:sz w:val="20"/>
                <w:szCs w:val="20"/>
                <w:lang w:val="sv-SE"/>
              </w:rPr>
              <w:t xml:space="preserve">Citroën C1 </w:t>
            </w:r>
            <w:r w:rsidRPr="003639EC">
              <w:rPr>
                <w:rFonts w:eastAsia="Times New Roman" w:cs="Times New Roman"/>
                <w:color w:val="444444"/>
                <w:sz w:val="20"/>
                <w:szCs w:val="20"/>
                <w:lang w:val="sv-SE"/>
              </w:rPr>
              <w:br/>
              <w:t>Fiat Panda</w:t>
            </w:r>
            <w:r w:rsidRPr="003639EC">
              <w:rPr>
                <w:rFonts w:eastAsia="Times New Roman" w:cs="Times New Roman"/>
                <w:color w:val="444444"/>
                <w:sz w:val="20"/>
                <w:szCs w:val="20"/>
                <w:lang w:val="sv-SE"/>
              </w:rPr>
              <w:br/>
              <w:t>Smart Fortwo</w:t>
            </w:r>
          </w:p>
        </w:tc>
      </w:tr>
      <w:tr w:rsidR="00EE0919" w:rsidRPr="00E67D02" w14:paraId="255DBC97" w14:textId="77777777" w:rsidTr="005F4017">
        <w:trPr>
          <w:jc w:val="center"/>
        </w:trPr>
        <w:tc>
          <w:tcPr>
            <w:cnfStyle w:val="001000000000" w:firstRow="0" w:lastRow="0" w:firstColumn="1" w:lastColumn="0" w:oddVBand="0" w:evenVBand="0" w:oddHBand="0" w:evenHBand="0" w:firstRowFirstColumn="0" w:firstRowLastColumn="0" w:lastRowFirstColumn="0" w:lastRowLastColumn="0"/>
            <w:tcW w:w="6096" w:type="dxa"/>
            <w:hideMark/>
          </w:tcPr>
          <w:p w14:paraId="26DD38E5" w14:textId="77777777" w:rsidR="00EE0919" w:rsidRPr="00E67D02" w:rsidRDefault="00EE0919" w:rsidP="009B3EDF">
            <w:pPr>
              <w:rPr>
                <w:rFonts w:eastAsia="Times New Roman" w:cs="Times New Roman"/>
                <w:color w:val="444444"/>
                <w:sz w:val="20"/>
                <w:szCs w:val="20"/>
              </w:rPr>
            </w:pPr>
            <w:r w:rsidRPr="00E67D02">
              <w:rPr>
                <w:rFonts w:eastAsia="Times New Roman" w:cs="Times New Roman"/>
                <w:color w:val="444444"/>
                <w:sz w:val="20"/>
                <w:szCs w:val="20"/>
              </w:rPr>
              <w:t>B: Small compact</w:t>
            </w:r>
          </w:p>
          <w:p w14:paraId="0FDC7925" w14:textId="77777777" w:rsidR="00EE0919" w:rsidRPr="00E67D02" w:rsidRDefault="00EE0919" w:rsidP="009B3EDF">
            <w:pPr>
              <w:rPr>
                <w:rFonts w:eastAsia="Times New Roman" w:cs="Times New Roman"/>
                <w:color w:val="444444"/>
                <w:sz w:val="20"/>
                <w:szCs w:val="20"/>
              </w:rPr>
            </w:pPr>
            <w:r w:rsidRPr="00E67D02">
              <w:rPr>
                <w:rFonts w:eastAsia="Times New Roman" w:cs="Times New Roman"/>
                <w:i/>
                <w:iCs/>
                <w:color w:val="444444"/>
                <w:sz w:val="20"/>
                <w:szCs w:val="20"/>
              </w:rPr>
              <w:t>Slightly more powerful than the Minis; still primarily for urban use; length between 3.60m and 4.05m</w:t>
            </w:r>
          </w:p>
        </w:tc>
        <w:tc>
          <w:tcPr>
            <w:tcW w:w="3260" w:type="dxa"/>
            <w:hideMark/>
          </w:tcPr>
          <w:p w14:paraId="18202CA7" w14:textId="77777777" w:rsidR="00EE0919" w:rsidRPr="00E67D02" w:rsidRDefault="00EE0919" w:rsidP="009B3E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444444"/>
                <w:sz w:val="20"/>
                <w:szCs w:val="20"/>
              </w:rPr>
            </w:pPr>
            <w:r w:rsidRPr="00E67D02">
              <w:rPr>
                <w:rFonts w:eastAsia="Times New Roman" w:cs="Times New Roman"/>
                <w:color w:val="444444"/>
                <w:sz w:val="20"/>
                <w:szCs w:val="20"/>
              </w:rPr>
              <w:t xml:space="preserve">Mitsubishi Colt </w:t>
            </w:r>
            <w:r w:rsidRPr="00E67D02">
              <w:rPr>
                <w:rFonts w:eastAsia="Times New Roman" w:cs="Times New Roman"/>
                <w:color w:val="444444"/>
                <w:sz w:val="20"/>
                <w:szCs w:val="20"/>
              </w:rPr>
              <w:br/>
              <w:t xml:space="preserve">Opel </w:t>
            </w:r>
            <w:proofErr w:type="spellStart"/>
            <w:r w:rsidRPr="00E67D02">
              <w:rPr>
                <w:rFonts w:eastAsia="Times New Roman" w:cs="Times New Roman"/>
                <w:color w:val="444444"/>
                <w:sz w:val="20"/>
                <w:szCs w:val="20"/>
              </w:rPr>
              <w:t>Corsa</w:t>
            </w:r>
            <w:proofErr w:type="spellEnd"/>
            <w:r w:rsidRPr="00E67D02">
              <w:rPr>
                <w:rFonts w:eastAsia="Times New Roman" w:cs="Times New Roman"/>
                <w:color w:val="444444"/>
                <w:sz w:val="20"/>
                <w:szCs w:val="20"/>
              </w:rPr>
              <w:t xml:space="preserve"> </w:t>
            </w:r>
            <w:r w:rsidRPr="00E67D02">
              <w:rPr>
                <w:rFonts w:eastAsia="Times New Roman" w:cs="Times New Roman"/>
                <w:color w:val="444444"/>
                <w:sz w:val="20"/>
                <w:szCs w:val="20"/>
              </w:rPr>
              <w:br/>
              <w:t>Suzuki Swift</w:t>
            </w:r>
          </w:p>
        </w:tc>
      </w:tr>
      <w:tr w:rsidR="00EE0919" w:rsidRPr="00EC09A7" w14:paraId="5F473FA3" w14:textId="77777777" w:rsidTr="005F4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6" w:type="dxa"/>
            <w:hideMark/>
          </w:tcPr>
          <w:p w14:paraId="1818AFFE" w14:textId="77777777" w:rsidR="00EE0919" w:rsidRPr="00E67D02" w:rsidRDefault="00EE0919" w:rsidP="009B3EDF">
            <w:pPr>
              <w:rPr>
                <w:rFonts w:eastAsia="Times New Roman" w:cs="Times New Roman"/>
                <w:color w:val="444444"/>
                <w:sz w:val="20"/>
                <w:szCs w:val="20"/>
              </w:rPr>
            </w:pPr>
            <w:r w:rsidRPr="00E67D02">
              <w:rPr>
                <w:rFonts w:eastAsia="Times New Roman" w:cs="Times New Roman"/>
                <w:color w:val="444444"/>
                <w:sz w:val="20"/>
                <w:szCs w:val="20"/>
              </w:rPr>
              <w:t>C: Compact</w:t>
            </w:r>
          </w:p>
          <w:p w14:paraId="06247387" w14:textId="77777777" w:rsidR="00EE0919" w:rsidRPr="00E67D02" w:rsidRDefault="00EE0919" w:rsidP="009B3EDF">
            <w:pPr>
              <w:rPr>
                <w:rFonts w:eastAsia="Times New Roman" w:cs="Times New Roman"/>
                <w:color w:val="444444"/>
                <w:sz w:val="20"/>
                <w:szCs w:val="20"/>
              </w:rPr>
            </w:pPr>
            <w:r w:rsidRPr="00E67D02">
              <w:rPr>
                <w:rFonts w:eastAsia="Times New Roman" w:cs="Times New Roman"/>
                <w:i/>
                <w:iCs/>
                <w:color w:val="444444"/>
                <w:sz w:val="20"/>
                <w:szCs w:val="20"/>
              </w:rPr>
              <w:t>Length between 4.05m – 4.50m</w:t>
            </w:r>
          </w:p>
        </w:tc>
        <w:tc>
          <w:tcPr>
            <w:tcW w:w="3260" w:type="dxa"/>
            <w:hideMark/>
          </w:tcPr>
          <w:p w14:paraId="3F70A3C3" w14:textId="77777777" w:rsidR="00EE0919" w:rsidRPr="003639EC" w:rsidRDefault="00EE0919" w:rsidP="009B3ED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444444"/>
                <w:sz w:val="20"/>
                <w:szCs w:val="20"/>
                <w:lang w:val="es-ES"/>
              </w:rPr>
            </w:pPr>
            <w:r w:rsidRPr="003639EC">
              <w:rPr>
                <w:rFonts w:eastAsia="Times New Roman" w:cs="Times New Roman"/>
                <w:color w:val="444444"/>
                <w:sz w:val="20"/>
                <w:szCs w:val="20"/>
                <w:lang w:val="es-ES"/>
              </w:rPr>
              <w:t xml:space="preserve">Mazda 3 </w:t>
            </w:r>
            <w:r w:rsidRPr="003639EC">
              <w:rPr>
                <w:rFonts w:eastAsia="Times New Roman" w:cs="Times New Roman"/>
                <w:color w:val="444444"/>
                <w:sz w:val="20"/>
                <w:szCs w:val="20"/>
                <w:lang w:val="es-ES"/>
              </w:rPr>
              <w:br/>
            </w:r>
            <w:proofErr w:type="spellStart"/>
            <w:r w:rsidRPr="003639EC">
              <w:rPr>
                <w:rFonts w:eastAsia="Times New Roman" w:cs="Times New Roman"/>
                <w:color w:val="444444"/>
                <w:sz w:val="20"/>
                <w:szCs w:val="20"/>
                <w:lang w:val="es-ES"/>
              </w:rPr>
              <w:t>Subaru</w:t>
            </w:r>
            <w:proofErr w:type="spellEnd"/>
            <w:r w:rsidRPr="003639EC">
              <w:rPr>
                <w:rFonts w:eastAsia="Times New Roman" w:cs="Times New Roman"/>
                <w:color w:val="444444"/>
                <w:sz w:val="20"/>
                <w:szCs w:val="20"/>
                <w:lang w:val="es-ES"/>
              </w:rPr>
              <w:t xml:space="preserve"> </w:t>
            </w:r>
            <w:proofErr w:type="spellStart"/>
            <w:r w:rsidRPr="003639EC">
              <w:rPr>
                <w:rFonts w:eastAsia="Times New Roman" w:cs="Times New Roman"/>
                <w:color w:val="444444"/>
                <w:sz w:val="20"/>
                <w:szCs w:val="20"/>
                <w:lang w:val="es-ES"/>
              </w:rPr>
              <w:t>Impreza</w:t>
            </w:r>
            <w:proofErr w:type="spellEnd"/>
            <w:r w:rsidRPr="003639EC">
              <w:rPr>
                <w:rFonts w:eastAsia="Times New Roman" w:cs="Times New Roman"/>
                <w:color w:val="444444"/>
                <w:sz w:val="20"/>
                <w:szCs w:val="20"/>
                <w:lang w:val="es-ES"/>
              </w:rPr>
              <w:br/>
              <w:t>Volvo S40</w:t>
            </w:r>
          </w:p>
        </w:tc>
      </w:tr>
      <w:tr w:rsidR="00EE0919" w:rsidRPr="00E67D02" w14:paraId="7CBBBC74" w14:textId="77777777" w:rsidTr="005F4017">
        <w:trPr>
          <w:jc w:val="center"/>
        </w:trPr>
        <w:tc>
          <w:tcPr>
            <w:cnfStyle w:val="001000000000" w:firstRow="0" w:lastRow="0" w:firstColumn="1" w:lastColumn="0" w:oddVBand="0" w:evenVBand="0" w:oddHBand="0" w:evenHBand="0" w:firstRowFirstColumn="0" w:firstRowLastColumn="0" w:lastRowFirstColumn="0" w:lastRowLastColumn="0"/>
            <w:tcW w:w="6096" w:type="dxa"/>
            <w:hideMark/>
          </w:tcPr>
          <w:p w14:paraId="4B613B36" w14:textId="77777777" w:rsidR="00EE0919" w:rsidRPr="00E67D02" w:rsidRDefault="00EE0919" w:rsidP="009B3EDF">
            <w:pPr>
              <w:rPr>
                <w:rFonts w:eastAsia="Times New Roman" w:cs="Times New Roman"/>
                <w:color w:val="444444"/>
                <w:sz w:val="20"/>
                <w:szCs w:val="20"/>
              </w:rPr>
            </w:pPr>
            <w:r w:rsidRPr="00E67D02">
              <w:rPr>
                <w:rFonts w:eastAsia="Times New Roman" w:cs="Times New Roman"/>
                <w:color w:val="444444"/>
                <w:sz w:val="20"/>
                <w:szCs w:val="20"/>
              </w:rPr>
              <w:t>D: Family cars</w:t>
            </w:r>
          </w:p>
          <w:p w14:paraId="6C296F24" w14:textId="77777777" w:rsidR="00EE0919" w:rsidRPr="00E67D02" w:rsidRDefault="00EE0919" w:rsidP="009B3EDF">
            <w:pPr>
              <w:rPr>
                <w:rFonts w:eastAsia="Times New Roman" w:cs="Times New Roman"/>
                <w:color w:val="444444"/>
                <w:sz w:val="20"/>
                <w:szCs w:val="20"/>
              </w:rPr>
            </w:pPr>
            <w:r w:rsidRPr="00E67D02">
              <w:rPr>
                <w:rFonts w:eastAsia="Times New Roman" w:cs="Times New Roman"/>
                <w:i/>
                <w:iCs/>
                <w:color w:val="444444"/>
                <w:sz w:val="20"/>
                <w:szCs w:val="20"/>
              </w:rPr>
              <w:t>Designed for longer distance; fits 5- 6 people; length is 4.50m to 4.80m</w:t>
            </w:r>
          </w:p>
        </w:tc>
        <w:tc>
          <w:tcPr>
            <w:tcW w:w="3260" w:type="dxa"/>
            <w:hideMark/>
          </w:tcPr>
          <w:p w14:paraId="0C99A0D5" w14:textId="77777777" w:rsidR="00EE0919" w:rsidRPr="00E67D02" w:rsidRDefault="00EE0919" w:rsidP="009B3E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444444"/>
                <w:sz w:val="20"/>
                <w:szCs w:val="20"/>
              </w:rPr>
            </w:pPr>
            <w:r w:rsidRPr="00E67D02">
              <w:rPr>
                <w:rFonts w:eastAsia="Times New Roman" w:cs="Times New Roman"/>
                <w:color w:val="444444"/>
                <w:sz w:val="20"/>
                <w:szCs w:val="20"/>
              </w:rPr>
              <w:t xml:space="preserve">BMW 3 series </w:t>
            </w:r>
            <w:r w:rsidRPr="00E67D02">
              <w:rPr>
                <w:rFonts w:eastAsia="Times New Roman" w:cs="Times New Roman"/>
                <w:color w:val="444444"/>
                <w:sz w:val="20"/>
                <w:szCs w:val="20"/>
              </w:rPr>
              <w:br/>
              <w:t xml:space="preserve">Chrysler Sebring </w:t>
            </w:r>
            <w:r w:rsidRPr="00E67D02">
              <w:rPr>
                <w:rFonts w:eastAsia="Times New Roman" w:cs="Times New Roman"/>
                <w:color w:val="444444"/>
                <w:sz w:val="20"/>
                <w:szCs w:val="20"/>
              </w:rPr>
              <w:br/>
              <w:t>Lexus IS</w:t>
            </w:r>
          </w:p>
        </w:tc>
      </w:tr>
      <w:tr w:rsidR="00EE0919" w:rsidRPr="00E67D02" w14:paraId="58B72477" w14:textId="77777777" w:rsidTr="005F4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4939AD5E" w14:textId="77777777" w:rsidR="00EE0919" w:rsidRPr="00E67D02" w:rsidRDefault="00EE0919" w:rsidP="009B3EDF">
            <w:pPr>
              <w:rPr>
                <w:rFonts w:eastAsia="Times New Roman" w:cs="Times New Roman"/>
                <w:color w:val="444444"/>
                <w:sz w:val="20"/>
                <w:szCs w:val="20"/>
              </w:rPr>
            </w:pPr>
            <w:r w:rsidRPr="00E67D02">
              <w:rPr>
                <w:rFonts w:eastAsia="Times New Roman" w:cs="Times New Roman"/>
                <w:color w:val="444444"/>
                <w:sz w:val="20"/>
                <w:szCs w:val="20"/>
              </w:rPr>
              <w:t>Light vans</w:t>
            </w:r>
          </w:p>
          <w:p w14:paraId="44BCD979" w14:textId="77777777" w:rsidR="00EE0919" w:rsidRPr="00E67D02" w:rsidRDefault="00EE0919" w:rsidP="009B3EDF">
            <w:pPr>
              <w:rPr>
                <w:rFonts w:eastAsia="Times New Roman" w:cs="Times New Roman"/>
                <w:color w:val="444444"/>
                <w:sz w:val="20"/>
                <w:szCs w:val="20"/>
              </w:rPr>
            </w:pPr>
            <w:r w:rsidRPr="00E67D02">
              <w:rPr>
                <w:rFonts w:eastAsia="Times New Roman" w:cs="Times New Roman"/>
                <w:i/>
                <w:iCs/>
                <w:color w:val="444444"/>
                <w:sz w:val="20"/>
                <w:szCs w:val="20"/>
              </w:rPr>
              <w:t>Size is similar to D, but interior volume is maximized to accommodate larger families</w:t>
            </w:r>
          </w:p>
        </w:tc>
        <w:tc>
          <w:tcPr>
            <w:tcW w:w="3260" w:type="dxa"/>
            <w:shd w:val="clear" w:color="auto" w:fill="auto"/>
            <w:hideMark/>
          </w:tcPr>
          <w:p w14:paraId="1BEFC722" w14:textId="77777777" w:rsidR="00EE0919" w:rsidRPr="00E67D02" w:rsidRDefault="00EE0919" w:rsidP="009B3ED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444444"/>
                <w:sz w:val="20"/>
                <w:szCs w:val="20"/>
              </w:rPr>
            </w:pPr>
            <w:r w:rsidRPr="00E67D02">
              <w:rPr>
                <w:rFonts w:eastAsia="Times New Roman" w:cs="Times New Roman"/>
                <w:color w:val="444444"/>
                <w:sz w:val="20"/>
                <w:szCs w:val="20"/>
              </w:rPr>
              <w:t xml:space="preserve">Chevrolet </w:t>
            </w:r>
            <w:proofErr w:type="spellStart"/>
            <w:r w:rsidRPr="00E67D02">
              <w:rPr>
                <w:rFonts w:eastAsia="Times New Roman" w:cs="Times New Roman"/>
                <w:color w:val="444444"/>
                <w:sz w:val="20"/>
                <w:szCs w:val="20"/>
              </w:rPr>
              <w:t>Uplander</w:t>
            </w:r>
            <w:proofErr w:type="spellEnd"/>
            <w:r w:rsidRPr="00E67D02">
              <w:rPr>
                <w:rFonts w:eastAsia="Times New Roman" w:cs="Times New Roman"/>
                <w:color w:val="444444"/>
                <w:sz w:val="20"/>
                <w:szCs w:val="20"/>
              </w:rPr>
              <w:t xml:space="preserve"> </w:t>
            </w:r>
            <w:r w:rsidRPr="00E67D02">
              <w:rPr>
                <w:rFonts w:eastAsia="Times New Roman" w:cs="Times New Roman"/>
                <w:color w:val="444444"/>
                <w:sz w:val="20"/>
                <w:szCs w:val="20"/>
              </w:rPr>
              <w:br/>
              <w:t>Ford Galaxy</w:t>
            </w:r>
            <w:r w:rsidRPr="00E67D02">
              <w:rPr>
                <w:rFonts w:eastAsia="Times New Roman" w:cs="Times New Roman"/>
                <w:color w:val="444444"/>
                <w:sz w:val="20"/>
                <w:szCs w:val="20"/>
              </w:rPr>
              <w:br/>
              <w:t xml:space="preserve">Volkswagen </w:t>
            </w:r>
            <w:proofErr w:type="spellStart"/>
            <w:r w:rsidRPr="00E67D02">
              <w:rPr>
                <w:rFonts w:eastAsia="Times New Roman" w:cs="Times New Roman"/>
                <w:color w:val="444444"/>
                <w:sz w:val="20"/>
                <w:szCs w:val="20"/>
              </w:rPr>
              <w:t>Sharan</w:t>
            </w:r>
            <w:proofErr w:type="spellEnd"/>
          </w:p>
        </w:tc>
      </w:tr>
      <w:tr w:rsidR="00EE0919" w:rsidRPr="00E67D02" w14:paraId="349352A5" w14:textId="77777777" w:rsidTr="005F4017">
        <w:trPr>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04FEBD27" w14:textId="77777777" w:rsidR="00EE0919" w:rsidRPr="00E67D02" w:rsidRDefault="00EE0919" w:rsidP="009B3EDF">
            <w:pPr>
              <w:rPr>
                <w:rFonts w:eastAsia="Times New Roman" w:cs="Times New Roman"/>
                <w:color w:val="444444"/>
                <w:sz w:val="20"/>
                <w:szCs w:val="20"/>
              </w:rPr>
            </w:pPr>
            <w:r w:rsidRPr="00E67D02">
              <w:rPr>
                <w:rFonts w:eastAsia="Times New Roman" w:cs="Times New Roman"/>
                <w:color w:val="444444"/>
                <w:sz w:val="20"/>
                <w:szCs w:val="20"/>
              </w:rPr>
              <w:t>Big / Full size cars</w:t>
            </w:r>
            <w:r w:rsidRPr="00E67D02">
              <w:rPr>
                <w:rFonts w:eastAsia="Times New Roman" w:cs="Times New Roman"/>
                <w:color w:val="444444"/>
                <w:sz w:val="20"/>
                <w:szCs w:val="20"/>
              </w:rPr>
              <w:br/>
            </w:r>
            <w:r w:rsidRPr="00E67D02">
              <w:rPr>
                <w:rFonts w:eastAsia="Times New Roman" w:cs="Times New Roman"/>
                <w:i/>
                <w:iCs/>
                <w:color w:val="444444"/>
                <w:sz w:val="20"/>
                <w:szCs w:val="20"/>
              </w:rPr>
              <w:t>Have generous leg room; can comfortably transport 5 - 6 people; generally have</w:t>
            </w:r>
            <w:r w:rsidRPr="00E67D02">
              <w:rPr>
                <w:rFonts w:eastAsia="Times New Roman" w:cs="Times New Roman"/>
                <w:i/>
                <w:iCs/>
                <w:color w:val="444444"/>
                <w:sz w:val="20"/>
                <w:szCs w:val="20"/>
              </w:rPr>
              <w:br/>
              <w:t>V8 engines and are 5m or longer in length</w:t>
            </w:r>
          </w:p>
        </w:tc>
        <w:tc>
          <w:tcPr>
            <w:tcW w:w="3260" w:type="dxa"/>
            <w:shd w:val="clear" w:color="auto" w:fill="auto"/>
            <w:hideMark/>
          </w:tcPr>
          <w:p w14:paraId="3BAB456E" w14:textId="77777777" w:rsidR="00EE0919" w:rsidRPr="00E67D02" w:rsidRDefault="00EE0919" w:rsidP="009B3ED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444444"/>
                <w:sz w:val="20"/>
                <w:szCs w:val="20"/>
              </w:rPr>
            </w:pPr>
            <w:r w:rsidRPr="00E67D02">
              <w:rPr>
                <w:rFonts w:eastAsia="Times New Roman" w:cs="Times New Roman"/>
                <w:color w:val="444444"/>
                <w:sz w:val="20"/>
                <w:szCs w:val="20"/>
              </w:rPr>
              <w:t xml:space="preserve">Cadillac DTS </w:t>
            </w:r>
            <w:r w:rsidRPr="00E67D02">
              <w:rPr>
                <w:rFonts w:eastAsia="Times New Roman" w:cs="Times New Roman"/>
                <w:color w:val="444444"/>
                <w:sz w:val="20"/>
                <w:szCs w:val="20"/>
              </w:rPr>
              <w:br/>
              <w:t xml:space="preserve">Jaguar XJ </w:t>
            </w:r>
            <w:r w:rsidRPr="00E67D02">
              <w:rPr>
                <w:rFonts w:eastAsia="Times New Roman" w:cs="Times New Roman"/>
                <w:color w:val="444444"/>
                <w:sz w:val="20"/>
                <w:szCs w:val="20"/>
              </w:rPr>
              <w:br/>
              <w:t>Mercedes-Benz E Class</w:t>
            </w:r>
          </w:p>
        </w:tc>
      </w:tr>
      <w:tr w:rsidR="00EE0919" w:rsidRPr="00E67D02" w14:paraId="5C2568CD" w14:textId="77777777" w:rsidTr="005F4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6" w:type="dxa"/>
            <w:hideMark/>
          </w:tcPr>
          <w:p w14:paraId="12D65AF0" w14:textId="77777777" w:rsidR="00EE0919" w:rsidRPr="00E67D02" w:rsidRDefault="00EE0919" w:rsidP="009B3EDF">
            <w:pPr>
              <w:rPr>
                <w:rFonts w:eastAsia="Times New Roman" w:cs="Times New Roman"/>
                <w:color w:val="444444"/>
                <w:sz w:val="20"/>
                <w:szCs w:val="20"/>
              </w:rPr>
            </w:pPr>
            <w:r w:rsidRPr="00E67D02">
              <w:rPr>
                <w:rFonts w:eastAsia="Times New Roman" w:cs="Times New Roman"/>
                <w:color w:val="444444"/>
                <w:sz w:val="20"/>
                <w:szCs w:val="20"/>
              </w:rPr>
              <w:t>SUV / All terrain</w:t>
            </w:r>
          </w:p>
          <w:p w14:paraId="446B583E" w14:textId="77777777" w:rsidR="00EE0919" w:rsidRPr="00E67D02" w:rsidRDefault="00EE0919" w:rsidP="009B3EDF">
            <w:pPr>
              <w:rPr>
                <w:rFonts w:eastAsia="Times New Roman" w:cs="Times New Roman"/>
                <w:color w:val="444444"/>
                <w:sz w:val="20"/>
                <w:szCs w:val="20"/>
              </w:rPr>
            </w:pPr>
            <w:r w:rsidRPr="00E67D02">
              <w:rPr>
                <w:rFonts w:eastAsia="Times New Roman" w:cs="Times New Roman"/>
                <w:i/>
                <w:iCs/>
                <w:color w:val="444444"/>
                <w:sz w:val="20"/>
                <w:szCs w:val="20"/>
              </w:rPr>
              <w:t>The original cars were utility cross-country vehicles with integral transmissions like the Jeep</w:t>
            </w:r>
          </w:p>
        </w:tc>
        <w:tc>
          <w:tcPr>
            <w:tcW w:w="3260" w:type="dxa"/>
            <w:hideMark/>
          </w:tcPr>
          <w:p w14:paraId="65251F0F" w14:textId="77777777" w:rsidR="00EE0919" w:rsidRPr="00E67D02" w:rsidRDefault="00EE0919" w:rsidP="009B3ED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444444"/>
                <w:sz w:val="20"/>
                <w:szCs w:val="20"/>
              </w:rPr>
            </w:pPr>
            <w:r w:rsidRPr="00E67D02">
              <w:rPr>
                <w:rFonts w:eastAsia="Times New Roman" w:cs="Times New Roman"/>
                <w:color w:val="444444"/>
                <w:sz w:val="20"/>
                <w:szCs w:val="20"/>
              </w:rPr>
              <w:t xml:space="preserve">Dodge Durango </w:t>
            </w:r>
            <w:r w:rsidRPr="00E67D02">
              <w:rPr>
                <w:rFonts w:eastAsia="Times New Roman" w:cs="Times New Roman"/>
                <w:color w:val="444444"/>
                <w:sz w:val="20"/>
                <w:szCs w:val="20"/>
              </w:rPr>
              <w:br/>
              <w:t xml:space="preserve">Jeep Grand Cherokee </w:t>
            </w:r>
            <w:r w:rsidRPr="00E67D02">
              <w:rPr>
                <w:rFonts w:eastAsia="Times New Roman" w:cs="Times New Roman"/>
                <w:color w:val="444444"/>
                <w:sz w:val="20"/>
                <w:szCs w:val="20"/>
              </w:rPr>
              <w:br/>
              <w:t>Nissan Patrol</w:t>
            </w:r>
            <w:r w:rsidRPr="00E67D02">
              <w:rPr>
                <w:rFonts w:eastAsia="Times New Roman" w:cs="Times New Roman"/>
                <w:color w:val="444444"/>
                <w:sz w:val="20"/>
                <w:szCs w:val="20"/>
              </w:rPr>
              <w:br/>
              <w:t>Toyota Land Cruiser</w:t>
            </w:r>
          </w:p>
        </w:tc>
      </w:tr>
    </w:tbl>
    <w:p w14:paraId="02C82AE9" w14:textId="77777777" w:rsidR="0056719C" w:rsidRPr="00510671" w:rsidRDefault="0056719C" w:rsidP="00A54379">
      <w:pPr>
        <w:rPr>
          <w:rFonts w:asciiTheme="majorBidi" w:hAnsiTheme="majorBidi" w:cstheme="majorBidi"/>
          <w:b/>
          <w:bCs/>
          <w:sz w:val="24"/>
          <w:szCs w:val="24"/>
        </w:rPr>
      </w:pPr>
    </w:p>
    <w:p w14:paraId="5422EBBC" w14:textId="77777777" w:rsidR="00510671" w:rsidRPr="00181B20" w:rsidRDefault="004B5241" w:rsidP="009D59BD">
      <w:pPr>
        <w:pStyle w:val="Heading2"/>
      </w:pPr>
      <w:bookmarkStart w:id="4" w:name="_Toc400533325"/>
      <w:r w:rsidRPr="00181B20">
        <w:t>Limitations</w:t>
      </w:r>
      <w:bookmarkEnd w:id="4"/>
    </w:p>
    <w:p w14:paraId="5ABA6E63" w14:textId="77777777" w:rsidR="00A54379" w:rsidRDefault="00181B20" w:rsidP="00A54379">
      <w:pPr>
        <w:rPr>
          <w:rFonts w:asciiTheme="majorBidi" w:hAnsiTheme="majorBidi" w:cstheme="majorBidi"/>
          <w:sz w:val="24"/>
          <w:szCs w:val="24"/>
        </w:rPr>
      </w:pPr>
      <w:r w:rsidRPr="00181B20">
        <w:rPr>
          <w:rFonts w:asciiTheme="majorBidi" w:hAnsiTheme="majorBidi" w:cstheme="majorBidi"/>
          <w:sz w:val="24"/>
          <w:szCs w:val="24"/>
        </w:rPr>
        <w:t>Tunisia has no indigenous driving cycle, an issue which is thoroughly discussed in the way forward section. Since the Tunisia market is in broad terms more streamlined with the European one, the study team obtained data for fuel economy/consumption based on the New European Driving Cycle (NEDC)</w:t>
      </w:r>
      <w:r>
        <w:rPr>
          <w:rFonts w:asciiTheme="majorBidi" w:hAnsiTheme="majorBidi" w:cstheme="majorBidi"/>
          <w:sz w:val="24"/>
          <w:szCs w:val="24"/>
        </w:rPr>
        <w:t>.</w:t>
      </w:r>
    </w:p>
    <w:p w14:paraId="3D29AA73" w14:textId="77777777" w:rsidR="007C181E" w:rsidRPr="00125ED2" w:rsidRDefault="00181B20" w:rsidP="00125ED2">
      <w:pPr>
        <w:rPr>
          <w:rFonts w:asciiTheme="majorBidi" w:hAnsiTheme="majorBidi" w:cstheme="majorBidi"/>
          <w:sz w:val="24"/>
          <w:szCs w:val="24"/>
        </w:rPr>
      </w:pPr>
      <w:r>
        <w:rPr>
          <w:rFonts w:asciiTheme="majorBidi" w:hAnsiTheme="majorBidi" w:cstheme="majorBidi"/>
          <w:sz w:val="24"/>
          <w:szCs w:val="24"/>
        </w:rPr>
        <w:t>Because for some models the emissions figures were not available, the report eliminated those models from its analysis</w:t>
      </w:r>
      <w:r w:rsidR="008D6B28">
        <w:rPr>
          <w:rFonts w:asciiTheme="majorBidi" w:hAnsiTheme="majorBidi" w:cstheme="majorBidi"/>
          <w:sz w:val="24"/>
          <w:szCs w:val="24"/>
        </w:rPr>
        <w:t>. Those models have made up a maximum of 1 % of all models all over the study years. Another limitation is the new LDVs sold through unauthorized dealers</w:t>
      </w:r>
      <w:r w:rsidR="00A82183">
        <w:rPr>
          <w:rFonts w:asciiTheme="majorBidi" w:hAnsiTheme="majorBidi" w:cstheme="majorBidi"/>
          <w:sz w:val="24"/>
          <w:szCs w:val="24"/>
        </w:rPr>
        <w:t xml:space="preserve"> and parallel markets which are</w:t>
      </w:r>
      <w:r w:rsidR="008D6B28">
        <w:rPr>
          <w:rFonts w:asciiTheme="majorBidi" w:hAnsiTheme="majorBidi" w:cstheme="majorBidi"/>
          <w:sz w:val="24"/>
          <w:szCs w:val="24"/>
        </w:rPr>
        <w:t xml:space="preserve"> not </w:t>
      </w:r>
      <w:r w:rsidR="00A82183">
        <w:rPr>
          <w:rFonts w:asciiTheme="majorBidi" w:hAnsiTheme="majorBidi" w:cstheme="majorBidi"/>
          <w:sz w:val="24"/>
          <w:szCs w:val="24"/>
        </w:rPr>
        <w:t xml:space="preserve">to </w:t>
      </w:r>
      <w:r w:rsidR="008D6B28">
        <w:rPr>
          <w:rFonts w:asciiTheme="majorBidi" w:hAnsiTheme="majorBidi" w:cstheme="majorBidi"/>
          <w:sz w:val="24"/>
          <w:szCs w:val="24"/>
        </w:rPr>
        <w:t>exceed 10% of total new LDVs sales.</w:t>
      </w:r>
      <w:r w:rsidR="00A82183">
        <w:rPr>
          <w:rFonts w:asciiTheme="majorBidi" w:hAnsiTheme="majorBidi" w:cstheme="majorBidi"/>
          <w:sz w:val="24"/>
          <w:szCs w:val="24"/>
        </w:rPr>
        <w:t xml:space="preserve"> Therefore the studied new LDVS in the report co</w:t>
      </w:r>
      <w:r w:rsidR="00300A61">
        <w:rPr>
          <w:rFonts w:asciiTheme="majorBidi" w:hAnsiTheme="majorBidi" w:cstheme="majorBidi"/>
          <w:sz w:val="24"/>
          <w:szCs w:val="24"/>
        </w:rPr>
        <w:t>mprise 89% of total new LDVS in</w:t>
      </w:r>
      <w:r w:rsidR="00A82183">
        <w:rPr>
          <w:rFonts w:asciiTheme="majorBidi" w:hAnsiTheme="majorBidi" w:cstheme="majorBidi"/>
          <w:sz w:val="24"/>
          <w:szCs w:val="24"/>
        </w:rPr>
        <w:t xml:space="preserve"> Tunisia for the study years, at worst.</w:t>
      </w:r>
    </w:p>
    <w:p w14:paraId="027CD97E" w14:textId="77777777" w:rsidR="009D59BD" w:rsidRPr="009D59BD" w:rsidRDefault="00B55F86" w:rsidP="009D59BD">
      <w:pPr>
        <w:pStyle w:val="Heading1"/>
      </w:pPr>
      <w:bookmarkStart w:id="5" w:name="_Toc400533326"/>
      <w:r w:rsidRPr="00EB6674">
        <w:lastRenderedPageBreak/>
        <w:t>Background</w:t>
      </w:r>
      <w:r w:rsidR="000C6DC0" w:rsidRPr="00EB6674">
        <w:t xml:space="preserve"> information</w:t>
      </w:r>
      <w:bookmarkEnd w:id="5"/>
    </w:p>
    <w:p w14:paraId="0AB076D7" w14:textId="77777777" w:rsidR="008A1AC6" w:rsidRPr="00EB6674" w:rsidRDefault="002B6970" w:rsidP="009D59BD">
      <w:pPr>
        <w:pStyle w:val="Heading2"/>
      </w:pPr>
      <w:bookmarkStart w:id="6" w:name="_Toc400533327"/>
      <w:r w:rsidRPr="00EB6674">
        <w:t>Fuel E</w:t>
      </w:r>
      <w:r w:rsidR="008A1AC6" w:rsidRPr="00EB6674">
        <w:t>conomy</w:t>
      </w:r>
      <w:bookmarkEnd w:id="6"/>
    </w:p>
    <w:p w14:paraId="2ECBD533" w14:textId="77777777" w:rsidR="002B6970" w:rsidRPr="00EB6674" w:rsidRDefault="002B6970">
      <w:pPr>
        <w:rPr>
          <w:rFonts w:asciiTheme="majorBidi" w:hAnsiTheme="majorBidi" w:cstheme="majorBidi"/>
          <w:sz w:val="24"/>
          <w:szCs w:val="24"/>
        </w:rPr>
      </w:pPr>
      <w:r w:rsidRPr="00EB6674">
        <w:rPr>
          <w:rFonts w:asciiTheme="majorBidi" w:hAnsiTheme="majorBidi" w:cstheme="majorBidi"/>
          <w:sz w:val="24"/>
          <w:szCs w:val="24"/>
        </w:rPr>
        <w:t xml:space="preserve">Fuel economy is a measure of the maximum distance that can be covered by a vehicle per unit of fuel. The most common metric of fuel economy is miles per gallon (mpg), which </w:t>
      </w:r>
      <w:r w:rsidR="00EA7FA4" w:rsidRPr="00EB6674">
        <w:rPr>
          <w:rFonts w:asciiTheme="majorBidi" w:hAnsiTheme="majorBidi" w:cstheme="majorBidi"/>
          <w:sz w:val="24"/>
          <w:szCs w:val="24"/>
        </w:rPr>
        <w:t xml:space="preserve">is </w:t>
      </w:r>
      <w:r w:rsidR="00181B20" w:rsidRPr="00EB6674">
        <w:rPr>
          <w:rFonts w:asciiTheme="majorBidi" w:hAnsiTheme="majorBidi" w:cstheme="majorBidi"/>
          <w:sz w:val="24"/>
          <w:szCs w:val="24"/>
        </w:rPr>
        <w:t>especially,</w:t>
      </w:r>
      <w:r w:rsidRPr="00EB6674">
        <w:rPr>
          <w:rFonts w:asciiTheme="majorBidi" w:hAnsiTheme="majorBidi" w:cstheme="majorBidi"/>
          <w:sz w:val="24"/>
          <w:szCs w:val="24"/>
        </w:rPr>
        <w:t xml:space="preserve"> used in the United States</w:t>
      </w:r>
      <w:r w:rsidR="00EA7FA4" w:rsidRPr="00EB6674">
        <w:rPr>
          <w:rFonts w:asciiTheme="majorBidi" w:hAnsiTheme="majorBidi" w:cstheme="majorBidi"/>
          <w:sz w:val="24"/>
          <w:szCs w:val="24"/>
        </w:rPr>
        <w:t>. Kilometers per liter can also be used.</w:t>
      </w:r>
    </w:p>
    <w:p w14:paraId="5CBECDBF" w14:textId="77777777" w:rsidR="00BD4795" w:rsidRPr="00EB6674" w:rsidRDefault="00BD4795">
      <w:pPr>
        <w:rPr>
          <w:rFonts w:asciiTheme="majorBidi" w:hAnsiTheme="majorBidi" w:cstheme="majorBidi"/>
          <w:b/>
          <w:bCs/>
          <w:i/>
          <w:iCs/>
          <w:sz w:val="24"/>
          <w:szCs w:val="24"/>
        </w:rPr>
      </w:pPr>
      <w:r w:rsidRPr="00EB6674">
        <w:rPr>
          <w:rFonts w:asciiTheme="majorBidi" w:hAnsiTheme="majorBidi" w:cstheme="majorBidi"/>
          <w:b/>
          <w:bCs/>
          <w:i/>
          <w:iCs/>
          <w:sz w:val="24"/>
          <w:szCs w:val="24"/>
        </w:rPr>
        <w:t>Fuel Consumption</w:t>
      </w:r>
    </w:p>
    <w:p w14:paraId="1EE80D3D" w14:textId="77777777" w:rsidR="009D59BD" w:rsidRPr="00125ED2" w:rsidRDefault="00BD4795" w:rsidP="00125ED2">
      <w:pPr>
        <w:rPr>
          <w:rFonts w:asciiTheme="majorBidi" w:hAnsiTheme="majorBidi" w:cstheme="majorBidi"/>
          <w:sz w:val="24"/>
          <w:szCs w:val="24"/>
        </w:rPr>
      </w:pPr>
      <w:r w:rsidRPr="00EB6674">
        <w:rPr>
          <w:rFonts w:asciiTheme="majorBidi" w:hAnsiTheme="majorBidi" w:cstheme="majorBidi"/>
          <w:sz w:val="24"/>
          <w:szCs w:val="24"/>
        </w:rPr>
        <w:t>Fuel consumption is the mathematical reciprocal of fuel economy. It is a measure of the amount of fuel consumed covering a given distance.</w:t>
      </w:r>
      <w:r w:rsidR="00042A1E" w:rsidRPr="00EB6674">
        <w:rPr>
          <w:rFonts w:asciiTheme="majorBidi" w:hAnsiTheme="majorBidi" w:cstheme="majorBidi"/>
          <w:sz w:val="24"/>
          <w:szCs w:val="24"/>
        </w:rPr>
        <w:t xml:space="preserve"> It is measured in liters per 100 km</w:t>
      </w:r>
      <w:r w:rsidRPr="00EB6674">
        <w:rPr>
          <w:rFonts w:asciiTheme="majorBidi" w:hAnsiTheme="majorBidi" w:cstheme="majorBidi"/>
          <w:sz w:val="24"/>
          <w:szCs w:val="24"/>
        </w:rPr>
        <w:t xml:space="preserve"> </w:t>
      </w:r>
      <w:r w:rsidR="00042A1E" w:rsidRPr="00EB6674">
        <w:rPr>
          <w:rFonts w:asciiTheme="majorBidi" w:hAnsiTheme="majorBidi" w:cstheme="majorBidi"/>
          <w:sz w:val="24"/>
          <w:szCs w:val="24"/>
        </w:rPr>
        <w:t xml:space="preserve">in Europe and most of the world. In the United States it is measured in gallons per 100 miles. Being the reciprocal of fuel </w:t>
      </w:r>
      <w:r w:rsidRPr="00EB6674">
        <w:rPr>
          <w:rFonts w:asciiTheme="majorBidi" w:hAnsiTheme="majorBidi" w:cstheme="majorBidi"/>
          <w:sz w:val="24"/>
          <w:szCs w:val="24"/>
        </w:rPr>
        <w:t xml:space="preserve">economy </w:t>
      </w:r>
      <w:r w:rsidR="00042A1E" w:rsidRPr="00EB6674">
        <w:rPr>
          <w:rFonts w:asciiTheme="majorBidi" w:hAnsiTheme="majorBidi" w:cstheme="majorBidi"/>
          <w:sz w:val="24"/>
          <w:szCs w:val="24"/>
        </w:rPr>
        <w:t>necessarily entails that for fuel consumption the relation</w:t>
      </w:r>
      <w:r w:rsidR="00EA7FA4" w:rsidRPr="00EB6674">
        <w:rPr>
          <w:rFonts w:asciiTheme="majorBidi" w:hAnsiTheme="majorBidi" w:cstheme="majorBidi"/>
          <w:sz w:val="24"/>
          <w:szCs w:val="24"/>
        </w:rPr>
        <w:t>. This in turn renders more instrumental in communicating the fuel savings, from improving fuel economy, in absolute terms to lay consumers. This is because the amount of</w:t>
      </w:r>
      <w:r w:rsidR="00515C8A" w:rsidRPr="00EB6674">
        <w:rPr>
          <w:rFonts w:asciiTheme="majorBidi" w:hAnsiTheme="majorBidi" w:cstheme="majorBidi"/>
          <w:sz w:val="24"/>
          <w:szCs w:val="24"/>
        </w:rPr>
        <w:t xml:space="preserve"> </w:t>
      </w:r>
      <w:r w:rsidR="00EA7FA4" w:rsidRPr="00EB6674">
        <w:rPr>
          <w:rFonts w:asciiTheme="majorBidi" w:hAnsiTheme="majorBidi" w:cstheme="majorBidi"/>
          <w:sz w:val="24"/>
          <w:szCs w:val="24"/>
        </w:rPr>
        <w:t>fuel saved in improving fuel economy in the lower ranges of m</w:t>
      </w:r>
      <w:r w:rsidR="00676810" w:rsidRPr="00EB6674">
        <w:rPr>
          <w:rFonts w:asciiTheme="majorBidi" w:hAnsiTheme="majorBidi" w:cstheme="majorBidi"/>
          <w:sz w:val="24"/>
          <w:szCs w:val="24"/>
        </w:rPr>
        <w:t>pg is</w:t>
      </w:r>
      <w:r w:rsidR="00EA7FA4" w:rsidRPr="00EB6674">
        <w:rPr>
          <w:rFonts w:asciiTheme="majorBidi" w:hAnsiTheme="majorBidi" w:cstheme="majorBidi"/>
          <w:sz w:val="24"/>
          <w:szCs w:val="24"/>
        </w:rPr>
        <w:t xml:space="preserve"> significantly higher than those at the higher ranges. Hence the benefits accrued from improving the fuel consumption of vehicles</w:t>
      </w:r>
      <w:r w:rsidR="009D5049" w:rsidRPr="00EB6674">
        <w:rPr>
          <w:rFonts w:asciiTheme="majorBidi" w:hAnsiTheme="majorBidi" w:cstheme="majorBidi"/>
          <w:sz w:val="24"/>
          <w:szCs w:val="24"/>
        </w:rPr>
        <w:t xml:space="preserve"> be</w:t>
      </w:r>
      <w:r w:rsidR="00ED238F" w:rsidRPr="00EB6674">
        <w:rPr>
          <w:rFonts w:asciiTheme="majorBidi" w:hAnsiTheme="majorBidi" w:cstheme="majorBidi"/>
          <w:sz w:val="24"/>
          <w:szCs w:val="24"/>
        </w:rPr>
        <w:t>come more comprehe</w:t>
      </w:r>
      <w:r w:rsidR="00125ED2">
        <w:rPr>
          <w:rFonts w:asciiTheme="majorBidi" w:hAnsiTheme="majorBidi" w:cstheme="majorBidi"/>
          <w:sz w:val="24"/>
          <w:szCs w:val="24"/>
        </w:rPr>
        <w:t>nsible to the average consumer.</w:t>
      </w:r>
    </w:p>
    <w:p w14:paraId="4750AE15" w14:textId="77777777" w:rsidR="00ED238F" w:rsidRPr="00EB6674" w:rsidRDefault="009D59BD" w:rsidP="009D59BD">
      <w:pPr>
        <w:pStyle w:val="Heading2"/>
      </w:pPr>
      <w:bookmarkStart w:id="7" w:name="_Toc400533328"/>
      <w:r>
        <w:t>Factors Affecting Fuel/Consumption E</w:t>
      </w:r>
      <w:r w:rsidR="00ED238F" w:rsidRPr="00EB6674">
        <w:t>conomy</w:t>
      </w:r>
      <w:bookmarkEnd w:id="7"/>
    </w:p>
    <w:p w14:paraId="319402E3" w14:textId="0DDBC7A7" w:rsidR="0056719C" w:rsidRPr="005F4017" w:rsidRDefault="00951F0B">
      <w:pPr>
        <w:rPr>
          <w:rFonts w:asciiTheme="majorBidi" w:hAnsiTheme="majorBidi" w:cstheme="majorBidi"/>
          <w:sz w:val="24"/>
          <w:szCs w:val="24"/>
        </w:rPr>
      </w:pPr>
      <w:r w:rsidRPr="00EB6674">
        <w:rPr>
          <w:rFonts w:asciiTheme="majorBidi" w:hAnsiTheme="majorBidi" w:cstheme="majorBidi"/>
          <w:sz w:val="24"/>
          <w:szCs w:val="24"/>
        </w:rPr>
        <w:t xml:space="preserve">The report tackles two broad types of vehicles classified according to the fuel they utilize. </w:t>
      </w:r>
      <w:r w:rsidR="00256043" w:rsidRPr="00EB6674">
        <w:rPr>
          <w:rFonts w:asciiTheme="majorBidi" w:hAnsiTheme="majorBidi" w:cstheme="majorBidi"/>
          <w:sz w:val="24"/>
          <w:szCs w:val="24"/>
        </w:rPr>
        <w:t>P</w:t>
      </w:r>
      <w:r w:rsidR="00A4199E" w:rsidRPr="00EB6674">
        <w:rPr>
          <w:rFonts w:asciiTheme="majorBidi" w:hAnsiTheme="majorBidi" w:cstheme="majorBidi"/>
          <w:sz w:val="24"/>
          <w:szCs w:val="24"/>
        </w:rPr>
        <w:t>etrol powered engines</w:t>
      </w:r>
      <w:r w:rsidR="00676810" w:rsidRPr="00EB6674">
        <w:rPr>
          <w:rFonts w:asciiTheme="majorBidi" w:hAnsiTheme="majorBidi" w:cstheme="majorBidi"/>
          <w:sz w:val="24"/>
          <w:szCs w:val="24"/>
        </w:rPr>
        <w:t xml:space="preserve"> (petrol fuelled vehicles)</w:t>
      </w:r>
      <w:r w:rsidR="00256043" w:rsidRPr="00EB6674">
        <w:rPr>
          <w:rFonts w:asciiTheme="majorBidi" w:hAnsiTheme="majorBidi" w:cstheme="majorBidi"/>
          <w:sz w:val="24"/>
          <w:szCs w:val="24"/>
        </w:rPr>
        <w:t>, referred to as spark ignition engines,</w:t>
      </w:r>
      <w:r w:rsidRPr="00EB6674">
        <w:rPr>
          <w:rFonts w:asciiTheme="majorBidi" w:hAnsiTheme="majorBidi" w:cstheme="majorBidi"/>
          <w:sz w:val="24"/>
          <w:szCs w:val="24"/>
        </w:rPr>
        <w:t xml:space="preserve"> rely</w:t>
      </w:r>
      <w:r w:rsidR="00A4199E" w:rsidRPr="00EB6674">
        <w:rPr>
          <w:rFonts w:asciiTheme="majorBidi" w:hAnsiTheme="majorBidi" w:cstheme="majorBidi"/>
          <w:sz w:val="24"/>
          <w:szCs w:val="24"/>
        </w:rPr>
        <w:t xml:space="preserve"> for the most part on a thermodynamic cycle, called Otto cycle. For petrol engines, a spark plug is used to ignite an air/fuel mixture exerting work on piston</w:t>
      </w:r>
      <w:r w:rsidR="005C61DB" w:rsidRPr="00EB6674">
        <w:rPr>
          <w:rFonts w:asciiTheme="majorBidi" w:hAnsiTheme="majorBidi" w:cstheme="majorBidi"/>
          <w:sz w:val="24"/>
          <w:szCs w:val="24"/>
        </w:rPr>
        <w:t>, which moves vertically inside a hollow cylinder,</w:t>
      </w:r>
      <w:r w:rsidR="00A4199E" w:rsidRPr="00EB6674">
        <w:rPr>
          <w:rFonts w:asciiTheme="majorBidi" w:hAnsiTheme="majorBidi" w:cstheme="majorBidi"/>
          <w:sz w:val="24"/>
          <w:szCs w:val="24"/>
        </w:rPr>
        <w:t xml:space="preserve"> </w:t>
      </w:r>
      <w:r w:rsidR="00256043" w:rsidRPr="00EB6674">
        <w:rPr>
          <w:rFonts w:asciiTheme="majorBidi" w:hAnsiTheme="majorBidi" w:cstheme="majorBidi"/>
          <w:sz w:val="24"/>
          <w:szCs w:val="24"/>
        </w:rPr>
        <w:t xml:space="preserve">then mechanically transmitted </w:t>
      </w:r>
      <w:r w:rsidR="00A4199E" w:rsidRPr="00EB6674">
        <w:rPr>
          <w:rFonts w:asciiTheme="majorBidi" w:hAnsiTheme="majorBidi" w:cstheme="majorBidi"/>
          <w:sz w:val="24"/>
          <w:szCs w:val="24"/>
        </w:rPr>
        <w:t>to</w:t>
      </w:r>
      <w:r w:rsidR="005C61DB" w:rsidRPr="00EB6674">
        <w:rPr>
          <w:rFonts w:asciiTheme="majorBidi" w:hAnsiTheme="majorBidi" w:cstheme="majorBidi"/>
          <w:sz w:val="24"/>
          <w:szCs w:val="24"/>
        </w:rPr>
        <w:t xml:space="preserve"> a crankshaft and through </w:t>
      </w:r>
      <w:proofErr w:type="gramStart"/>
      <w:r w:rsidR="005C61DB" w:rsidRPr="00EB6674">
        <w:rPr>
          <w:rFonts w:asciiTheme="majorBidi" w:hAnsiTheme="majorBidi" w:cstheme="majorBidi"/>
          <w:sz w:val="24"/>
          <w:szCs w:val="24"/>
        </w:rPr>
        <w:t>a clockwork</w:t>
      </w:r>
      <w:proofErr w:type="gramEnd"/>
      <w:r w:rsidR="005C61DB" w:rsidRPr="00EB6674">
        <w:rPr>
          <w:rFonts w:asciiTheme="majorBidi" w:hAnsiTheme="majorBidi" w:cstheme="majorBidi"/>
          <w:sz w:val="24"/>
          <w:szCs w:val="24"/>
        </w:rPr>
        <w:t xml:space="preserve"> of gears to</w:t>
      </w:r>
      <w:r w:rsidR="00A4199E" w:rsidRPr="00EB6674">
        <w:rPr>
          <w:rFonts w:asciiTheme="majorBidi" w:hAnsiTheme="majorBidi" w:cstheme="majorBidi"/>
          <w:sz w:val="24"/>
          <w:szCs w:val="24"/>
        </w:rPr>
        <w:t xml:space="preserve"> the wheels</w:t>
      </w:r>
      <w:r w:rsidRPr="00EB6674">
        <w:rPr>
          <w:rFonts w:asciiTheme="majorBidi" w:hAnsiTheme="majorBidi" w:cstheme="majorBidi"/>
          <w:sz w:val="24"/>
          <w:szCs w:val="24"/>
        </w:rPr>
        <w:t xml:space="preserve">. </w:t>
      </w:r>
      <w:r w:rsidR="00676810" w:rsidRPr="00EB6674">
        <w:rPr>
          <w:rFonts w:asciiTheme="majorBidi" w:hAnsiTheme="majorBidi" w:cstheme="majorBidi"/>
          <w:sz w:val="24"/>
          <w:szCs w:val="24"/>
        </w:rPr>
        <w:t>Diesel powered engines (Diesel fuelled vehicles) rely on heat generated from the compression of diesel/air mix for ignition and operating the pistons</w:t>
      </w:r>
      <w:r w:rsidRPr="00EB6674">
        <w:rPr>
          <w:rFonts w:asciiTheme="majorBidi" w:hAnsiTheme="majorBidi" w:cstheme="majorBidi"/>
          <w:sz w:val="24"/>
          <w:szCs w:val="24"/>
        </w:rPr>
        <w:t>.</w:t>
      </w:r>
      <w:r w:rsidR="00A16C63" w:rsidRPr="00EB6674">
        <w:rPr>
          <w:rFonts w:asciiTheme="majorBidi" w:hAnsiTheme="majorBidi" w:cstheme="majorBidi"/>
          <w:sz w:val="24"/>
          <w:szCs w:val="24"/>
        </w:rPr>
        <w:t xml:space="preserve"> For both types of internal combustion engines, 75% of the energy is wasted to coolants and exhaust with the rest doing the propelling work.</w:t>
      </w:r>
    </w:p>
    <w:p w14:paraId="163F86A0" w14:textId="77777777" w:rsidR="00951F0B" w:rsidRPr="00EB6674" w:rsidRDefault="00951F0B">
      <w:pPr>
        <w:rPr>
          <w:rFonts w:asciiTheme="majorBidi" w:hAnsiTheme="majorBidi" w:cstheme="majorBidi"/>
          <w:b/>
          <w:bCs/>
          <w:i/>
          <w:iCs/>
          <w:sz w:val="24"/>
          <w:szCs w:val="24"/>
        </w:rPr>
      </w:pPr>
      <w:r w:rsidRPr="00EB6674">
        <w:rPr>
          <w:rFonts w:asciiTheme="majorBidi" w:hAnsiTheme="majorBidi" w:cstheme="majorBidi"/>
          <w:b/>
          <w:bCs/>
          <w:i/>
          <w:iCs/>
          <w:sz w:val="24"/>
          <w:szCs w:val="24"/>
        </w:rPr>
        <w:t>Vehicle Energy efficiency</w:t>
      </w:r>
    </w:p>
    <w:p w14:paraId="1E1C5888" w14:textId="201F8C60" w:rsidR="00837B5F" w:rsidRPr="00EB6674" w:rsidRDefault="00475A5E" w:rsidP="00475A5E">
      <w:pPr>
        <w:pStyle w:val="ListParagraph"/>
        <w:numPr>
          <w:ilvl w:val="0"/>
          <w:numId w:val="1"/>
        </w:numPr>
        <w:rPr>
          <w:rFonts w:asciiTheme="majorBidi" w:hAnsiTheme="majorBidi" w:cstheme="majorBidi"/>
          <w:sz w:val="24"/>
          <w:szCs w:val="24"/>
        </w:rPr>
      </w:pPr>
      <w:r w:rsidRPr="00EB6674">
        <w:rPr>
          <w:rFonts w:asciiTheme="majorBidi" w:hAnsiTheme="majorBidi" w:cstheme="majorBidi"/>
          <w:b/>
          <w:bCs/>
          <w:sz w:val="24"/>
          <w:szCs w:val="24"/>
        </w:rPr>
        <w:t xml:space="preserve">Engine: </w:t>
      </w:r>
      <w:r w:rsidRPr="00EB6674">
        <w:rPr>
          <w:rFonts w:asciiTheme="majorBidi" w:hAnsiTheme="majorBidi" w:cstheme="majorBidi"/>
          <w:sz w:val="24"/>
          <w:szCs w:val="24"/>
        </w:rPr>
        <w:t>The engine output power varies with its torque and speed. For each en</w:t>
      </w:r>
      <w:r w:rsidR="00EB6900">
        <w:rPr>
          <w:rFonts w:asciiTheme="majorBidi" w:hAnsiTheme="majorBidi" w:cstheme="majorBidi"/>
          <w:sz w:val="24"/>
          <w:szCs w:val="24"/>
        </w:rPr>
        <w:t xml:space="preserve">gine there is </w:t>
      </w:r>
      <w:r w:rsidR="005F4017">
        <w:rPr>
          <w:rFonts w:asciiTheme="majorBidi" w:hAnsiTheme="majorBidi" w:cstheme="majorBidi"/>
          <w:sz w:val="24"/>
          <w:szCs w:val="24"/>
        </w:rPr>
        <w:t>three-dimensional</w:t>
      </w:r>
      <w:r w:rsidR="00EB6900">
        <w:rPr>
          <w:rFonts w:asciiTheme="majorBidi" w:hAnsiTheme="majorBidi" w:cstheme="majorBidi"/>
          <w:sz w:val="24"/>
          <w:szCs w:val="24"/>
        </w:rPr>
        <w:t xml:space="preserve"> curves </w:t>
      </w:r>
      <w:r w:rsidRPr="00EB6674">
        <w:rPr>
          <w:rFonts w:asciiTheme="majorBidi" w:hAnsiTheme="majorBidi" w:cstheme="majorBidi"/>
          <w:sz w:val="24"/>
          <w:szCs w:val="24"/>
        </w:rPr>
        <w:t>plotting the output power against both Torque and speed. From this curve an optimum zone is located where the engine’s energy efficiency is maximized.  In reality the vehicles runs through various driving ranges and modes at points outside the energy efficient zone.</w:t>
      </w:r>
      <w:r w:rsidR="00034D2D" w:rsidRPr="00EB6674">
        <w:rPr>
          <w:rFonts w:asciiTheme="majorBidi" w:hAnsiTheme="majorBidi" w:cstheme="majorBidi"/>
          <w:sz w:val="24"/>
          <w:szCs w:val="24"/>
        </w:rPr>
        <w:t xml:space="preserve"> Using turbo charging</w:t>
      </w:r>
      <w:r w:rsidR="00BD136D" w:rsidRPr="00EB6674">
        <w:rPr>
          <w:rFonts w:asciiTheme="majorBidi" w:hAnsiTheme="majorBidi" w:cstheme="majorBidi"/>
          <w:sz w:val="24"/>
          <w:szCs w:val="24"/>
        </w:rPr>
        <w:t xml:space="preserve">, smaller engines </w:t>
      </w:r>
      <w:r w:rsidR="00AE263E" w:rsidRPr="00EB6674">
        <w:rPr>
          <w:rFonts w:asciiTheme="majorBidi" w:hAnsiTheme="majorBidi" w:cstheme="majorBidi"/>
          <w:sz w:val="24"/>
          <w:szCs w:val="24"/>
        </w:rPr>
        <w:t>all drive engine towards operation at the maximum efficiency zone</w:t>
      </w:r>
      <w:r w:rsidR="00125ED2">
        <w:rPr>
          <w:rFonts w:asciiTheme="majorBidi" w:hAnsiTheme="majorBidi" w:cstheme="majorBidi"/>
          <w:sz w:val="24"/>
          <w:szCs w:val="24"/>
        </w:rPr>
        <w:t xml:space="preserve"> (</w:t>
      </w:r>
      <w:r w:rsidR="00EB6900">
        <w:rPr>
          <w:rFonts w:asciiTheme="majorBidi" w:hAnsiTheme="majorBidi" w:cstheme="majorBidi"/>
          <w:sz w:val="24"/>
          <w:szCs w:val="24"/>
        </w:rPr>
        <w:t>Institute of Mechanical engineers</w:t>
      </w:r>
      <w:r w:rsidR="00125ED2">
        <w:rPr>
          <w:rFonts w:asciiTheme="majorBidi" w:hAnsiTheme="majorBidi" w:cstheme="majorBidi"/>
          <w:sz w:val="24"/>
          <w:szCs w:val="24"/>
        </w:rPr>
        <w:t>, 2011)</w:t>
      </w:r>
      <w:r w:rsidR="00AE263E" w:rsidRPr="00EB6674">
        <w:rPr>
          <w:rFonts w:asciiTheme="majorBidi" w:hAnsiTheme="majorBidi" w:cstheme="majorBidi"/>
          <w:sz w:val="24"/>
          <w:szCs w:val="24"/>
        </w:rPr>
        <w:t>.</w:t>
      </w:r>
    </w:p>
    <w:p w14:paraId="407D19EB" w14:textId="77777777" w:rsidR="00AE263E" w:rsidRPr="00EB6674" w:rsidRDefault="002B3060" w:rsidP="002B3060">
      <w:pPr>
        <w:pStyle w:val="ListParagraph"/>
        <w:numPr>
          <w:ilvl w:val="1"/>
          <w:numId w:val="1"/>
        </w:numPr>
        <w:rPr>
          <w:rFonts w:asciiTheme="majorBidi" w:hAnsiTheme="majorBidi" w:cstheme="majorBidi"/>
          <w:b/>
          <w:bCs/>
          <w:sz w:val="24"/>
          <w:szCs w:val="24"/>
        </w:rPr>
      </w:pPr>
      <w:r w:rsidRPr="00EB6674">
        <w:rPr>
          <w:rFonts w:asciiTheme="majorBidi" w:hAnsiTheme="majorBidi" w:cstheme="majorBidi"/>
          <w:b/>
          <w:bCs/>
          <w:sz w:val="24"/>
          <w:szCs w:val="24"/>
        </w:rPr>
        <w:t>Combustion interval:</w:t>
      </w:r>
      <w:r w:rsidR="003179C4" w:rsidRPr="00EB6674">
        <w:rPr>
          <w:rFonts w:asciiTheme="majorBidi" w:hAnsiTheme="majorBidi" w:cstheme="majorBidi"/>
          <w:b/>
          <w:bCs/>
          <w:sz w:val="24"/>
          <w:szCs w:val="24"/>
        </w:rPr>
        <w:t xml:space="preserve"> </w:t>
      </w:r>
      <w:r w:rsidR="003179C4" w:rsidRPr="00EB6674">
        <w:rPr>
          <w:rFonts w:asciiTheme="majorBidi" w:hAnsiTheme="majorBidi" w:cstheme="majorBidi"/>
          <w:sz w:val="24"/>
          <w:szCs w:val="24"/>
        </w:rPr>
        <w:t>short combustion interval  allows for more of the generated heat to be used in driving the pistons</w:t>
      </w:r>
    </w:p>
    <w:p w14:paraId="1A583546" w14:textId="77777777" w:rsidR="003179C4" w:rsidRPr="00EB6674" w:rsidRDefault="003179C4" w:rsidP="002B3060">
      <w:pPr>
        <w:pStyle w:val="ListParagraph"/>
        <w:numPr>
          <w:ilvl w:val="1"/>
          <w:numId w:val="1"/>
        </w:numPr>
        <w:rPr>
          <w:rFonts w:asciiTheme="majorBidi" w:hAnsiTheme="majorBidi" w:cstheme="majorBidi"/>
          <w:b/>
          <w:bCs/>
          <w:sz w:val="24"/>
          <w:szCs w:val="24"/>
        </w:rPr>
      </w:pPr>
      <w:r w:rsidRPr="00EB6674">
        <w:rPr>
          <w:rFonts w:asciiTheme="majorBidi" w:hAnsiTheme="majorBidi" w:cstheme="majorBidi"/>
          <w:b/>
          <w:bCs/>
          <w:sz w:val="24"/>
          <w:szCs w:val="24"/>
        </w:rPr>
        <w:t>High</w:t>
      </w:r>
      <w:r w:rsidR="00664B09">
        <w:rPr>
          <w:rFonts w:asciiTheme="majorBidi" w:hAnsiTheme="majorBidi" w:cstheme="majorBidi"/>
          <w:b/>
          <w:bCs/>
          <w:sz w:val="24"/>
          <w:szCs w:val="24"/>
        </w:rPr>
        <w:t xml:space="preserve">er compression ratio and optimized </w:t>
      </w:r>
      <w:r w:rsidRPr="00EB6674">
        <w:rPr>
          <w:rFonts w:asciiTheme="majorBidi" w:hAnsiTheme="majorBidi" w:cstheme="majorBidi"/>
          <w:b/>
          <w:bCs/>
          <w:sz w:val="24"/>
          <w:szCs w:val="24"/>
        </w:rPr>
        <w:t>exhaust valve opening</w:t>
      </w:r>
      <w:r w:rsidRPr="00EB6674">
        <w:rPr>
          <w:rFonts w:asciiTheme="majorBidi" w:hAnsiTheme="majorBidi" w:cstheme="majorBidi"/>
          <w:sz w:val="24"/>
          <w:szCs w:val="24"/>
        </w:rPr>
        <w:t>:</w:t>
      </w:r>
      <w:r w:rsidR="002519FD">
        <w:rPr>
          <w:rFonts w:asciiTheme="majorBidi" w:hAnsiTheme="majorBidi" w:cstheme="majorBidi"/>
          <w:sz w:val="24"/>
          <w:szCs w:val="24"/>
        </w:rPr>
        <w:t xml:space="preserve"> Compression ratio is the volume between the </w:t>
      </w:r>
      <w:r w:rsidR="001B13D4">
        <w:rPr>
          <w:rFonts w:asciiTheme="majorBidi" w:hAnsiTheme="majorBidi" w:cstheme="majorBidi"/>
          <w:sz w:val="24"/>
          <w:szCs w:val="24"/>
        </w:rPr>
        <w:t>volumes</w:t>
      </w:r>
      <w:r w:rsidR="002519FD">
        <w:rPr>
          <w:rFonts w:asciiTheme="majorBidi" w:hAnsiTheme="majorBidi" w:cstheme="majorBidi"/>
          <w:sz w:val="24"/>
          <w:szCs w:val="24"/>
        </w:rPr>
        <w:t xml:space="preserve"> of the combustion chamber when the cylinder is at the bottom stroke to that when the cylinder is at top stroke</w:t>
      </w:r>
      <w:r w:rsidR="00664B09">
        <w:rPr>
          <w:rFonts w:asciiTheme="majorBidi" w:hAnsiTheme="majorBidi" w:cstheme="majorBidi"/>
          <w:sz w:val="24"/>
          <w:szCs w:val="24"/>
        </w:rPr>
        <w:t xml:space="preserve">. Better </w:t>
      </w:r>
      <w:r w:rsidR="00664B09">
        <w:rPr>
          <w:rFonts w:asciiTheme="majorBidi" w:hAnsiTheme="majorBidi" w:cstheme="majorBidi"/>
          <w:sz w:val="24"/>
          <w:szCs w:val="24"/>
        </w:rPr>
        <w:lastRenderedPageBreak/>
        <w:t>control of exhaust valve opening improves the energy efficiency of engine</w:t>
      </w:r>
      <w:r w:rsidR="001843C7">
        <w:rPr>
          <w:rFonts w:asciiTheme="majorBidi" w:hAnsiTheme="majorBidi" w:cstheme="majorBidi"/>
          <w:sz w:val="24"/>
          <w:szCs w:val="24"/>
        </w:rPr>
        <w:t xml:space="preserve"> (Institute of Mechanical Engineers, 2011)</w:t>
      </w:r>
      <w:r w:rsidR="00664B09">
        <w:rPr>
          <w:rFonts w:asciiTheme="majorBidi" w:hAnsiTheme="majorBidi" w:cstheme="majorBidi"/>
          <w:sz w:val="24"/>
          <w:szCs w:val="24"/>
        </w:rPr>
        <w:t>.</w:t>
      </w:r>
    </w:p>
    <w:p w14:paraId="45007D4B" w14:textId="77777777" w:rsidR="003179C4" w:rsidRPr="00EB6674" w:rsidRDefault="0051017F" w:rsidP="003179C4">
      <w:pPr>
        <w:pStyle w:val="ListParagraph"/>
        <w:numPr>
          <w:ilvl w:val="0"/>
          <w:numId w:val="1"/>
        </w:numPr>
        <w:rPr>
          <w:rFonts w:asciiTheme="majorBidi" w:hAnsiTheme="majorBidi" w:cstheme="majorBidi"/>
          <w:sz w:val="24"/>
          <w:szCs w:val="24"/>
        </w:rPr>
      </w:pPr>
      <w:r w:rsidRPr="00EB6674">
        <w:rPr>
          <w:rFonts w:asciiTheme="majorBidi" w:hAnsiTheme="majorBidi" w:cstheme="majorBidi"/>
          <w:b/>
          <w:bCs/>
          <w:sz w:val="24"/>
          <w:szCs w:val="24"/>
        </w:rPr>
        <w:t xml:space="preserve">Pump losses: </w:t>
      </w:r>
      <w:r w:rsidRPr="00EB6674">
        <w:rPr>
          <w:rFonts w:asciiTheme="majorBidi" w:hAnsiTheme="majorBidi" w:cstheme="majorBidi"/>
          <w:sz w:val="24"/>
          <w:szCs w:val="24"/>
        </w:rPr>
        <w:t>The pump losses</w:t>
      </w:r>
      <w:r w:rsidRPr="00EB6674">
        <w:rPr>
          <w:rFonts w:asciiTheme="majorBidi" w:hAnsiTheme="majorBidi" w:cstheme="majorBidi"/>
          <w:b/>
          <w:bCs/>
          <w:sz w:val="24"/>
          <w:szCs w:val="24"/>
        </w:rPr>
        <w:t xml:space="preserve"> </w:t>
      </w:r>
      <w:r w:rsidR="00A57413" w:rsidRPr="00EB6674">
        <w:rPr>
          <w:rFonts w:asciiTheme="majorBidi" w:hAnsiTheme="majorBidi" w:cstheme="majorBidi"/>
          <w:sz w:val="24"/>
          <w:szCs w:val="24"/>
        </w:rPr>
        <w:t>result from pressure gradients along the piston,</w:t>
      </w:r>
      <w:r w:rsidR="00704ED7" w:rsidRPr="00EB6674">
        <w:rPr>
          <w:rFonts w:asciiTheme="majorBidi" w:hAnsiTheme="majorBidi" w:cstheme="majorBidi"/>
          <w:sz w:val="24"/>
          <w:szCs w:val="24"/>
        </w:rPr>
        <w:t xml:space="preserve"> so it is the</w:t>
      </w:r>
      <w:r w:rsidR="009A75FD" w:rsidRPr="00EB6674">
        <w:rPr>
          <w:rFonts w:asciiTheme="majorBidi" w:hAnsiTheme="majorBidi" w:cstheme="majorBidi"/>
          <w:sz w:val="24"/>
          <w:szCs w:val="24"/>
        </w:rPr>
        <w:t xml:space="preserve"> extra</w:t>
      </w:r>
      <w:r w:rsidR="00A57413" w:rsidRPr="00EB6674">
        <w:rPr>
          <w:rFonts w:asciiTheme="majorBidi" w:hAnsiTheme="majorBidi" w:cstheme="majorBidi"/>
          <w:sz w:val="24"/>
          <w:szCs w:val="24"/>
        </w:rPr>
        <w:t xml:space="preserve"> work required </w:t>
      </w:r>
      <w:r w:rsidR="009A75FD" w:rsidRPr="00EB6674">
        <w:rPr>
          <w:rFonts w:asciiTheme="majorBidi" w:hAnsiTheme="majorBidi" w:cstheme="majorBidi"/>
          <w:sz w:val="24"/>
          <w:szCs w:val="24"/>
        </w:rPr>
        <w:t>to suck air in and out of inlets</w:t>
      </w:r>
      <w:r w:rsidR="00125ED2">
        <w:rPr>
          <w:rFonts w:asciiTheme="majorBidi" w:hAnsiTheme="majorBidi" w:cstheme="majorBidi"/>
          <w:sz w:val="24"/>
          <w:szCs w:val="24"/>
        </w:rPr>
        <w:t xml:space="preserve"> (Chiaberge, 2011)</w:t>
      </w:r>
      <w:r w:rsidR="009A75FD" w:rsidRPr="00EB6674">
        <w:rPr>
          <w:rFonts w:asciiTheme="majorBidi" w:hAnsiTheme="majorBidi" w:cstheme="majorBidi"/>
          <w:sz w:val="24"/>
          <w:szCs w:val="24"/>
        </w:rPr>
        <w:t>.</w:t>
      </w:r>
    </w:p>
    <w:p w14:paraId="3ED38F4C" w14:textId="77777777" w:rsidR="00FA0876" w:rsidRPr="00EB6674" w:rsidRDefault="009A75FD" w:rsidP="003179C4">
      <w:pPr>
        <w:pStyle w:val="ListParagraph"/>
        <w:numPr>
          <w:ilvl w:val="0"/>
          <w:numId w:val="1"/>
        </w:numPr>
        <w:rPr>
          <w:rFonts w:asciiTheme="majorBidi" w:hAnsiTheme="majorBidi" w:cstheme="majorBidi"/>
          <w:sz w:val="24"/>
          <w:szCs w:val="24"/>
        </w:rPr>
      </w:pPr>
      <w:r w:rsidRPr="00EB6674">
        <w:rPr>
          <w:rFonts w:asciiTheme="majorBidi" w:hAnsiTheme="majorBidi" w:cstheme="majorBidi"/>
          <w:b/>
          <w:bCs/>
          <w:sz w:val="24"/>
          <w:szCs w:val="24"/>
        </w:rPr>
        <w:t xml:space="preserve">Friction losses: </w:t>
      </w:r>
      <w:r w:rsidRPr="00EB6674">
        <w:rPr>
          <w:rFonts w:asciiTheme="majorBidi" w:hAnsiTheme="majorBidi" w:cstheme="majorBidi"/>
          <w:sz w:val="24"/>
          <w:szCs w:val="24"/>
        </w:rPr>
        <w:t>Friction losses</w:t>
      </w:r>
      <w:r w:rsidR="003033AA" w:rsidRPr="00EB6674">
        <w:rPr>
          <w:rFonts w:asciiTheme="majorBidi" w:hAnsiTheme="majorBidi" w:cstheme="majorBidi"/>
          <w:b/>
          <w:bCs/>
          <w:sz w:val="24"/>
          <w:szCs w:val="24"/>
        </w:rPr>
        <w:t xml:space="preserve"> </w:t>
      </w:r>
      <w:r w:rsidRPr="00EB6674">
        <w:rPr>
          <w:rFonts w:asciiTheme="majorBidi" w:hAnsiTheme="majorBidi" w:cstheme="majorBidi"/>
          <w:sz w:val="24"/>
          <w:szCs w:val="24"/>
        </w:rPr>
        <w:t>result from</w:t>
      </w:r>
      <w:r w:rsidRPr="00EB6674">
        <w:rPr>
          <w:rFonts w:asciiTheme="majorBidi" w:hAnsiTheme="majorBidi" w:cstheme="majorBidi"/>
          <w:b/>
          <w:bCs/>
          <w:sz w:val="24"/>
          <w:szCs w:val="24"/>
        </w:rPr>
        <w:t xml:space="preserve"> </w:t>
      </w:r>
      <w:r w:rsidR="00704ED7" w:rsidRPr="00EB6674">
        <w:rPr>
          <w:rFonts w:asciiTheme="majorBidi" w:hAnsiTheme="majorBidi" w:cstheme="majorBidi"/>
          <w:sz w:val="24"/>
          <w:szCs w:val="24"/>
        </w:rPr>
        <w:t>piston and</w:t>
      </w:r>
      <w:r w:rsidR="00704ED7" w:rsidRPr="00EB6674">
        <w:rPr>
          <w:rFonts w:asciiTheme="majorBidi" w:hAnsiTheme="majorBidi" w:cstheme="majorBidi"/>
          <w:b/>
          <w:bCs/>
          <w:sz w:val="24"/>
          <w:szCs w:val="24"/>
        </w:rPr>
        <w:t xml:space="preserve"> </w:t>
      </w:r>
      <w:r w:rsidR="00704ED7" w:rsidRPr="00EB6674">
        <w:rPr>
          <w:rFonts w:asciiTheme="majorBidi" w:hAnsiTheme="majorBidi" w:cstheme="majorBidi"/>
          <w:sz w:val="24"/>
          <w:szCs w:val="24"/>
        </w:rPr>
        <w:t>crank shaft mechanical connections</w:t>
      </w:r>
      <w:r w:rsidR="003033AA" w:rsidRPr="00EB6674">
        <w:rPr>
          <w:rFonts w:asciiTheme="majorBidi" w:hAnsiTheme="majorBidi" w:cstheme="majorBidi"/>
          <w:sz w:val="24"/>
          <w:szCs w:val="24"/>
        </w:rPr>
        <w:t>. Improving precision of cylinder dimensions minimizes</w:t>
      </w:r>
      <w:r w:rsidR="006C0425" w:rsidRPr="00EB6674">
        <w:rPr>
          <w:rFonts w:asciiTheme="majorBidi" w:hAnsiTheme="majorBidi" w:cstheme="majorBidi"/>
          <w:sz w:val="24"/>
          <w:szCs w:val="24"/>
        </w:rPr>
        <w:t xml:space="preserve"> piston friction losses</w:t>
      </w:r>
      <w:r w:rsidR="00FA0876" w:rsidRPr="00EB6674">
        <w:rPr>
          <w:rFonts w:asciiTheme="majorBidi" w:hAnsiTheme="majorBidi" w:cstheme="majorBidi"/>
          <w:sz w:val="24"/>
          <w:szCs w:val="24"/>
        </w:rPr>
        <w:t>. Crank shaft bearing design and features have a straightforward impact on the associated friction losses</w:t>
      </w:r>
      <w:r w:rsidR="00125ED2">
        <w:rPr>
          <w:rFonts w:asciiTheme="majorBidi" w:hAnsiTheme="majorBidi" w:cstheme="majorBidi"/>
          <w:sz w:val="24"/>
          <w:szCs w:val="24"/>
        </w:rPr>
        <w:t xml:space="preserve"> (</w:t>
      </w:r>
      <w:r w:rsidR="001843C7">
        <w:rPr>
          <w:rFonts w:asciiTheme="majorBidi" w:hAnsiTheme="majorBidi" w:cstheme="majorBidi"/>
          <w:sz w:val="24"/>
          <w:szCs w:val="24"/>
        </w:rPr>
        <w:t>Institute of Mechanical engineers</w:t>
      </w:r>
      <w:r w:rsidR="00125ED2">
        <w:rPr>
          <w:rFonts w:asciiTheme="majorBidi" w:hAnsiTheme="majorBidi" w:cstheme="majorBidi"/>
          <w:sz w:val="24"/>
          <w:szCs w:val="24"/>
        </w:rPr>
        <w:t>, 2011)</w:t>
      </w:r>
      <w:r w:rsidR="00FA0876" w:rsidRPr="00EB6674">
        <w:rPr>
          <w:rFonts w:asciiTheme="majorBidi" w:hAnsiTheme="majorBidi" w:cstheme="majorBidi"/>
          <w:sz w:val="24"/>
          <w:szCs w:val="24"/>
        </w:rPr>
        <w:t>.</w:t>
      </w:r>
    </w:p>
    <w:p w14:paraId="552D2369" w14:textId="77777777" w:rsidR="006013B9" w:rsidRPr="00EB6674" w:rsidRDefault="00FA0876" w:rsidP="003179C4">
      <w:pPr>
        <w:pStyle w:val="ListParagraph"/>
        <w:numPr>
          <w:ilvl w:val="0"/>
          <w:numId w:val="1"/>
        </w:numPr>
        <w:rPr>
          <w:rFonts w:asciiTheme="majorBidi" w:hAnsiTheme="majorBidi" w:cstheme="majorBidi"/>
          <w:sz w:val="24"/>
          <w:szCs w:val="24"/>
        </w:rPr>
      </w:pPr>
      <w:r w:rsidRPr="00EB6674">
        <w:rPr>
          <w:rFonts w:asciiTheme="majorBidi" w:hAnsiTheme="majorBidi" w:cstheme="majorBidi"/>
          <w:b/>
          <w:bCs/>
          <w:sz w:val="24"/>
          <w:szCs w:val="24"/>
        </w:rPr>
        <w:t>Oil and coolant pumps:</w:t>
      </w:r>
      <w:r w:rsidRPr="00EB6674">
        <w:rPr>
          <w:rFonts w:asciiTheme="majorBidi" w:hAnsiTheme="majorBidi" w:cstheme="majorBidi"/>
          <w:sz w:val="24"/>
          <w:szCs w:val="24"/>
        </w:rPr>
        <w:t xml:space="preserve"> following the wide-spread recommendations for reducing energy consumption of pumps</w:t>
      </w:r>
      <w:r w:rsidR="00F831AA" w:rsidRPr="00EB6674">
        <w:rPr>
          <w:rFonts w:asciiTheme="majorBidi" w:hAnsiTheme="majorBidi" w:cstheme="majorBidi"/>
          <w:sz w:val="24"/>
          <w:szCs w:val="24"/>
        </w:rPr>
        <w:t xml:space="preserve"> are applicable for automotive engines.</w:t>
      </w:r>
    </w:p>
    <w:p w14:paraId="3FB453F4" w14:textId="77777777" w:rsidR="009A75FD" w:rsidRPr="00EB6674" w:rsidRDefault="006013B9" w:rsidP="003179C4">
      <w:pPr>
        <w:pStyle w:val="ListParagraph"/>
        <w:numPr>
          <w:ilvl w:val="0"/>
          <w:numId w:val="1"/>
        </w:numPr>
        <w:rPr>
          <w:rFonts w:asciiTheme="majorBidi" w:hAnsiTheme="majorBidi" w:cstheme="majorBidi"/>
          <w:b/>
          <w:bCs/>
          <w:sz w:val="24"/>
          <w:szCs w:val="24"/>
        </w:rPr>
      </w:pPr>
      <w:r w:rsidRPr="00EB6674">
        <w:rPr>
          <w:rFonts w:asciiTheme="majorBidi" w:hAnsiTheme="majorBidi" w:cstheme="majorBidi"/>
          <w:b/>
          <w:bCs/>
          <w:sz w:val="24"/>
          <w:szCs w:val="24"/>
        </w:rPr>
        <w:t>Power steering</w:t>
      </w:r>
      <w:r w:rsidR="007E1965" w:rsidRPr="00EB6674">
        <w:rPr>
          <w:rFonts w:asciiTheme="majorBidi" w:hAnsiTheme="majorBidi" w:cstheme="majorBidi"/>
          <w:b/>
          <w:bCs/>
          <w:sz w:val="24"/>
          <w:szCs w:val="24"/>
        </w:rPr>
        <w:t xml:space="preserve">:  </w:t>
      </w:r>
      <w:r w:rsidR="007E1965" w:rsidRPr="00EB6674">
        <w:rPr>
          <w:rFonts w:asciiTheme="majorBidi" w:hAnsiTheme="majorBidi" w:cstheme="majorBidi"/>
          <w:sz w:val="24"/>
          <w:szCs w:val="24"/>
        </w:rPr>
        <w:t>using electric drives for power steering reduces fuel consumption</w:t>
      </w:r>
    </w:p>
    <w:p w14:paraId="04058532" w14:textId="77777777" w:rsidR="008A1AC6" w:rsidRPr="00EB6674" w:rsidRDefault="006013B9" w:rsidP="006F2B1E">
      <w:pPr>
        <w:pStyle w:val="ListParagraph"/>
        <w:numPr>
          <w:ilvl w:val="0"/>
          <w:numId w:val="1"/>
        </w:numPr>
        <w:rPr>
          <w:rFonts w:asciiTheme="majorBidi" w:hAnsiTheme="majorBidi" w:cstheme="majorBidi"/>
          <w:b/>
          <w:bCs/>
          <w:sz w:val="24"/>
          <w:szCs w:val="24"/>
        </w:rPr>
      </w:pPr>
      <w:r w:rsidRPr="00EB6674">
        <w:rPr>
          <w:rFonts w:asciiTheme="majorBidi" w:hAnsiTheme="majorBidi" w:cstheme="majorBidi"/>
          <w:b/>
          <w:bCs/>
          <w:sz w:val="24"/>
          <w:szCs w:val="24"/>
        </w:rPr>
        <w:t>Aerodynamics</w:t>
      </w:r>
      <w:r w:rsidR="006F2B1E" w:rsidRPr="00EB6674">
        <w:rPr>
          <w:rFonts w:asciiTheme="majorBidi" w:hAnsiTheme="majorBidi" w:cstheme="majorBidi"/>
          <w:b/>
          <w:bCs/>
          <w:sz w:val="24"/>
          <w:szCs w:val="24"/>
        </w:rPr>
        <w:t xml:space="preserve">: </w:t>
      </w:r>
      <w:r w:rsidR="006F2B1E" w:rsidRPr="00EB6674">
        <w:rPr>
          <w:rFonts w:asciiTheme="majorBidi" w:hAnsiTheme="majorBidi" w:cstheme="majorBidi"/>
          <w:sz w:val="24"/>
          <w:szCs w:val="24"/>
        </w:rPr>
        <w:t>air resistance to a vehicle’s traction, termed drag force is dependent on a factor called the drag coefficient. Reducing drag coefficient reduces fuel consumption</w:t>
      </w:r>
    </w:p>
    <w:p w14:paraId="62D38290" w14:textId="77777777" w:rsidR="00FC6483" w:rsidRPr="00EB6674" w:rsidRDefault="00FC6483" w:rsidP="006F2B1E">
      <w:pPr>
        <w:pStyle w:val="ListParagraph"/>
        <w:numPr>
          <w:ilvl w:val="0"/>
          <w:numId w:val="1"/>
        </w:numPr>
        <w:rPr>
          <w:rFonts w:asciiTheme="majorBidi" w:hAnsiTheme="majorBidi" w:cstheme="majorBidi"/>
          <w:b/>
          <w:bCs/>
          <w:sz w:val="24"/>
          <w:szCs w:val="24"/>
        </w:rPr>
      </w:pPr>
      <w:r w:rsidRPr="00EB6674">
        <w:rPr>
          <w:rFonts w:asciiTheme="majorBidi" w:hAnsiTheme="majorBidi" w:cstheme="majorBidi"/>
          <w:b/>
          <w:bCs/>
          <w:sz w:val="24"/>
          <w:szCs w:val="24"/>
        </w:rPr>
        <w:t>Tire resistance</w:t>
      </w:r>
      <w:r w:rsidRPr="00EB6674">
        <w:rPr>
          <w:rFonts w:asciiTheme="majorBidi" w:hAnsiTheme="majorBidi" w:cstheme="majorBidi"/>
          <w:sz w:val="24"/>
          <w:szCs w:val="24"/>
        </w:rPr>
        <w:t xml:space="preserve">: the mass of the car putting pressure on tires leads to energy losses. This resistance is a function of </w:t>
      </w:r>
      <w:r w:rsidR="009E2721" w:rsidRPr="00EB6674">
        <w:rPr>
          <w:rFonts w:asciiTheme="majorBidi" w:hAnsiTheme="majorBidi" w:cstheme="majorBidi"/>
          <w:sz w:val="24"/>
          <w:szCs w:val="24"/>
        </w:rPr>
        <w:t>tire design and air pressure. Design options that reduce tire resistance may weigh on safety and levels of wear and tear. Optimum trade-offs must be reached.</w:t>
      </w:r>
    </w:p>
    <w:p w14:paraId="6744BF61" w14:textId="77777777" w:rsidR="00BD136D" w:rsidRPr="00EB6674" w:rsidRDefault="00BD136D" w:rsidP="006F2B1E">
      <w:pPr>
        <w:pStyle w:val="ListParagraph"/>
        <w:numPr>
          <w:ilvl w:val="0"/>
          <w:numId w:val="1"/>
        </w:numPr>
        <w:rPr>
          <w:rFonts w:asciiTheme="majorBidi" w:hAnsiTheme="majorBidi" w:cstheme="majorBidi"/>
          <w:sz w:val="24"/>
          <w:szCs w:val="24"/>
        </w:rPr>
      </w:pPr>
      <w:r w:rsidRPr="00EB6674">
        <w:rPr>
          <w:rFonts w:asciiTheme="majorBidi" w:hAnsiTheme="majorBidi" w:cstheme="majorBidi"/>
          <w:b/>
          <w:bCs/>
          <w:sz w:val="24"/>
          <w:szCs w:val="24"/>
        </w:rPr>
        <w:t>Transmission terrain</w:t>
      </w:r>
      <w:r w:rsidRPr="00EB6674">
        <w:rPr>
          <w:rFonts w:asciiTheme="majorBidi" w:hAnsiTheme="majorBidi" w:cstheme="majorBidi"/>
          <w:sz w:val="24"/>
          <w:szCs w:val="24"/>
        </w:rPr>
        <w:t xml:space="preserve">: increasing the number of gear ratios reduces the </w:t>
      </w:r>
      <w:r w:rsidR="005428C7" w:rsidRPr="00EB6674">
        <w:rPr>
          <w:rFonts w:asciiTheme="majorBidi" w:hAnsiTheme="majorBidi" w:cstheme="majorBidi"/>
          <w:sz w:val="24"/>
          <w:szCs w:val="24"/>
        </w:rPr>
        <w:t>losses in the transmission terrain. Several transmission technologies, such as planetary (differential gearboxes) and  dual-clutch transmission, are commercially available to date</w:t>
      </w:r>
    </w:p>
    <w:p w14:paraId="536EC9BF" w14:textId="77777777" w:rsidR="000C6DC0" w:rsidRPr="00EB6674" w:rsidRDefault="00713875" w:rsidP="009B3EDF">
      <w:pPr>
        <w:pStyle w:val="ListParagraph"/>
        <w:numPr>
          <w:ilvl w:val="0"/>
          <w:numId w:val="1"/>
        </w:numPr>
        <w:rPr>
          <w:rFonts w:asciiTheme="majorBidi" w:hAnsiTheme="majorBidi" w:cstheme="majorBidi"/>
          <w:b/>
          <w:bCs/>
          <w:sz w:val="24"/>
          <w:szCs w:val="24"/>
        </w:rPr>
      </w:pPr>
      <w:r w:rsidRPr="00EB6674">
        <w:rPr>
          <w:rFonts w:asciiTheme="majorBidi" w:hAnsiTheme="majorBidi" w:cstheme="majorBidi"/>
          <w:b/>
          <w:bCs/>
          <w:sz w:val="24"/>
          <w:szCs w:val="24"/>
        </w:rPr>
        <w:t>Stroke-To-Bore</w:t>
      </w:r>
      <w:r w:rsidR="005C61DB" w:rsidRPr="00EB6674">
        <w:rPr>
          <w:rFonts w:asciiTheme="majorBidi" w:hAnsiTheme="majorBidi" w:cstheme="majorBidi"/>
          <w:b/>
          <w:bCs/>
          <w:sz w:val="24"/>
          <w:szCs w:val="24"/>
        </w:rPr>
        <w:t xml:space="preserve"> Ratio</w:t>
      </w:r>
      <w:r w:rsidR="005C61DB" w:rsidRPr="00EB6674">
        <w:rPr>
          <w:rFonts w:asciiTheme="majorBidi" w:hAnsiTheme="majorBidi" w:cstheme="majorBidi"/>
          <w:sz w:val="24"/>
          <w:szCs w:val="24"/>
        </w:rPr>
        <w:t>: This is</w:t>
      </w:r>
      <w:r w:rsidRPr="00EB6674">
        <w:rPr>
          <w:rFonts w:asciiTheme="majorBidi" w:hAnsiTheme="majorBidi" w:cstheme="majorBidi"/>
          <w:sz w:val="24"/>
          <w:szCs w:val="24"/>
        </w:rPr>
        <w:t xml:space="preserve"> the ratio between</w:t>
      </w:r>
      <w:r w:rsidR="005C61DB" w:rsidRPr="00EB6674">
        <w:rPr>
          <w:rFonts w:asciiTheme="majorBidi" w:hAnsiTheme="majorBidi" w:cstheme="majorBidi"/>
          <w:sz w:val="24"/>
          <w:szCs w:val="24"/>
        </w:rPr>
        <w:t xml:space="preserve"> the length of the stroke</w:t>
      </w:r>
      <w:r w:rsidRPr="00EB6674">
        <w:rPr>
          <w:rFonts w:asciiTheme="majorBidi" w:hAnsiTheme="majorBidi" w:cstheme="majorBidi"/>
          <w:sz w:val="24"/>
          <w:szCs w:val="24"/>
        </w:rPr>
        <w:t xml:space="preserve"> and the diameter of the cylinder. As the </w:t>
      </w:r>
      <w:r w:rsidR="00624877" w:rsidRPr="00EB6674">
        <w:rPr>
          <w:rFonts w:asciiTheme="majorBidi" w:hAnsiTheme="majorBidi" w:cstheme="majorBidi"/>
          <w:sz w:val="24"/>
          <w:szCs w:val="24"/>
        </w:rPr>
        <w:t>stroke to bore ratio increases</w:t>
      </w:r>
      <w:r w:rsidR="008661B2" w:rsidRPr="00EB6674">
        <w:rPr>
          <w:rFonts w:asciiTheme="majorBidi" w:hAnsiTheme="majorBidi" w:cstheme="majorBidi"/>
          <w:sz w:val="24"/>
          <w:szCs w:val="24"/>
        </w:rPr>
        <w:t>,</w:t>
      </w:r>
      <w:r w:rsidR="00624877" w:rsidRPr="00EB6674">
        <w:rPr>
          <w:rFonts w:asciiTheme="majorBidi" w:hAnsiTheme="majorBidi" w:cstheme="majorBidi"/>
          <w:sz w:val="24"/>
          <w:szCs w:val="24"/>
        </w:rPr>
        <w:t xml:space="preserve"> </w:t>
      </w:r>
      <w:r w:rsidRPr="00EB6674">
        <w:rPr>
          <w:rFonts w:asciiTheme="majorBidi" w:hAnsiTheme="majorBidi" w:cstheme="majorBidi"/>
          <w:sz w:val="24"/>
          <w:szCs w:val="24"/>
        </w:rPr>
        <w:t>air into the cylinder travels a longer distance reducing losses. As</w:t>
      </w:r>
      <w:r w:rsidR="00DC1794" w:rsidRPr="00EB6674">
        <w:rPr>
          <w:rFonts w:asciiTheme="majorBidi" w:hAnsiTheme="majorBidi" w:cstheme="majorBidi"/>
          <w:sz w:val="24"/>
          <w:szCs w:val="24"/>
        </w:rPr>
        <w:t xml:space="preserve"> stroke to bore ratio decreases </w:t>
      </w:r>
      <w:r w:rsidRPr="00EB6674">
        <w:rPr>
          <w:rFonts w:asciiTheme="majorBidi" w:hAnsiTheme="majorBidi" w:cstheme="majorBidi"/>
          <w:sz w:val="24"/>
          <w:szCs w:val="24"/>
        </w:rPr>
        <w:t xml:space="preserve">the surface area of  piston decreases </w:t>
      </w:r>
      <w:r w:rsidR="008661B2" w:rsidRPr="00EB6674">
        <w:rPr>
          <w:rFonts w:asciiTheme="majorBidi" w:hAnsiTheme="majorBidi" w:cstheme="majorBidi"/>
          <w:sz w:val="24"/>
          <w:szCs w:val="24"/>
        </w:rPr>
        <w:t xml:space="preserve"> which leads to lesser friction losses for the crankshaft bearings </w:t>
      </w:r>
      <w:r w:rsidR="00AC24F8">
        <w:rPr>
          <w:rFonts w:asciiTheme="majorBidi" w:hAnsiTheme="majorBidi" w:cstheme="majorBidi"/>
          <w:sz w:val="24"/>
          <w:szCs w:val="24"/>
        </w:rPr>
        <w:t xml:space="preserve"> (</w:t>
      </w:r>
      <w:r w:rsidR="00C93D56">
        <w:rPr>
          <w:rFonts w:asciiTheme="majorBidi" w:hAnsiTheme="majorBidi" w:cstheme="majorBidi"/>
          <w:sz w:val="24"/>
          <w:szCs w:val="24"/>
        </w:rPr>
        <w:t>Institute of mechanical Engineers</w:t>
      </w:r>
      <w:r w:rsidR="00AC24F8">
        <w:rPr>
          <w:rFonts w:asciiTheme="majorBidi" w:hAnsiTheme="majorBidi" w:cstheme="majorBidi"/>
          <w:sz w:val="24"/>
          <w:szCs w:val="24"/>
        </w:rPr>
        <w:t>, 2011)</w:t>
      </w:r>
    </w:p>
    <w:p w14:paraId="5C3E9899" w14:textId="77777777" w:rsidR="008661B2" w:rsidRPr="00EB6674" w:rsidRDefault="008661B2" w:rsidP="009B3EDF">
      <w:pPr>
        <w:pStyle w:val="ListParagraph"/>
        <w:numPr>
          <w:ilvl w:val="0"/>
          <w:numId w:val="1"/>
        </w:numPr>
        <w:rPr>
          <w:rFonts w:asciiTheme="majorBidi" w:hAnsiTheme="majorBidi" w:cstheme="majorBidi"/>
          <w:b/>
          <w:bCs/>
          <w:sz w:val="24"/>
          <w:szCs w:val="24"/>
        </w:rPr>
      </w:pPr>
      <w:r w:rsidRPr="00EB6674">
        <w:rPr>
          <w:rFonts w:asciiTheme="majorBidi" w:hAnsiTheme="majorBidi" w:cstheme="majorBidi"/>
          <w:b/>
          <w:bCs/>
          <w:sz w:val="24"/>
          <w:szCs w:val="24"/>
        </w:rPr>
        <w:t xml:space="preserve">Number of balancing shafts: </w:t>
      </w:r>
      <w:r w:rsidRPr="00EB6674">
        <w:rPr>
          <w:rFonts w:asciiTheme="majorBidi" w:hAnsiTheme="majorBidi" w:cstheme="majorBidi"/>
          <w:sz w:val="24"/>
          <w:szCs w:val="24"/>
        </w:rPr>
        <w:t>Those are shafts used for countering</w:t>
      </w:r>
      <w:r w:rsidR="00DC1794" w:rsidRPr="00EB6674">
        <w:rPr>
          <w:rFonts w:asciiTheme="majorBidi" w:hAnsiTheme="majorBidi" w:cstheme="majorBidi"/>
          <w:sz w:val="24"/>
          <w:szCs w:val="24"/>
        </w:rPr>
        <w:t xml:space="preserve"> the vibration effects of cylinders. They have weight and inertia which consume energy thus reducing efficiency. Different engine classes use different number of balancing shafts</w:t>
      </w:r>
      <w:r w:rsidR="00AC24F8">
        <w:rPr>
          <w:rFonts w:asciiTheme="majorBidi" w:hAnsiTheme="majorBidi" w:cstheme="majorBidi"/>
          <w:sz w:val="24"/>
          <w:szCs w:val="24"/>
        </w:rPr>
        <w:t xml:space="preserve"> (</w:t>
      </w:r>
      <w:r w:rsidR="00150A10">
        <w:rPr>
          <w:rFonts w:asciiTheme="majorBidi" w:hAnsiTheme="majorBidi" w:cstheme="majorBidi"/>
          <w:sz w:val="24"/>
          <w:szCs w:val="24"/>
        </w:rPr>
        <w:t>Stone</w:t>
      </w:r>
      <w:r w:rsidR="00AC24F8">
        <w:rPr>
          <w:rFonts w:asciiTheme="majorBidi" w:hAnsiTheme="majorBidi" w:cstheme="majorBidi"/>
          <w:sz w:val="24"/>
          <w:szCs w:val="24"/>
        </w:rPr>
        <w:t xml:space="preserve">, </w:t>
      </w:r>
      <w:r w:rsidR="00150A10">
        <w:rPr>
          <w:rFonts w:asciiTheme="majorBidi" w:hAnsiTheme="majorBidi" w:cstheme="majorBidi"/>
          <w:sz w:val="24"/>
          <w:szCs w:val="24"/>
        </w:rPr>
        <w:t>1999</w:t>
      </w:r>
      <w:r w:rsidR="00AC24F8">
        <w:rPr>
          <w:rFonts w:asciiTheme="majorBidi" w:hAnsiTheme="majorBidi" w:cstheme="majorBidi"/>
          <w:sz w:val="24"/>
          <w:szCs w:val="24"/>
        </w:rPr>
        <w:t>)</w:t>
      </w:r>
      <w:r w:rsidR="00DC1794" w:rsidRPr="00EB6674">
        <w:rPr>
          <w:rFonts w:asciiTheme="majorBidi" w:hAnsiTheme="majorBidi" w:cstheme="majorBidi"/>
          <w:sz w:val="24"/>
          <w:szCs w:val="24"/>
        </w:rPr>
        <w:t>.</w:t>
      </w:r>
    </w:p>
    <w:p w14:paraId="68711B38" w14:textId="77777777" w:rsidR="00D33979" w:rsidRPr="003047DC" w:rsidRDefault="00D33979" w:rsidP="00D33979">
      <w:pPr>
        <w:pStyle w:val="ListParagraph"/>
        <w:numPr>
          <w:ilvl w:val="0"/>
          <w:numId w:val="1"/>
        </w:numPr>
        <w:rPr>
          <w:rFonts w:asciiTheme="majorBidi" w:hAnsiTheme="majorBidi" w:cstheme="majorBidi"/>
          <w:b/>
          <w:bCs/>
          <w:sz w:val="24"/>
          <w:szCs w:val="24"/>
        </w:rPr>
      </w:pPr>
      <w:r w:rsidRPr="00EB6674">
        <w:rPr>
          <w:rFonts w:asciiTheme="majorBidi" w:hAnsiTheme="majorBidi" w:cstheme="majorBidi"/>
          <w:b/>
          <w:bCs/>
          <w:sz w:val="24"/>
          <w:szCs w:val="24"/>
        </w:rPr>
        <w:t xml:space="preserve">Vehicle Weight: </w:t>
      </w:r>
      <w:r w:rsidRPr="00EB6674">
        <w:rPr>
          <w:rFonts w:asciiTheme="majorBidi" w:hAnsiTheme="majorBidi" w:cstheme="majorBidi"/>
          <w:sz w:val="24"/>
          <w:szCs w:val="24"/>
        </w:rPr>
        <w:t>Vehicle mass has a profound impact</w:t>
      </w:r>
      <w:r w:rsidR="00A571D2" w:rsidRPr="00EB6674">
        <w:rPr>
          <w:rFonts w:asciiTheme="majorBidi" w:hAnsiTheme="majorBidi" w:cstheme="majorBidi"/>
          <w:b/>
          <w:bCs/>
          <w:sz w:val="24"/>
          <w:szCs w:val="24"/>
        </w:rPr>
        <w:t xml:space="preserve"> </w:t>
      </w:r>
      <w:r w:rsidRPr="00EB6674">
        <w:rPr>
          <w:rFonts w:asciiTheme="majorBidi" w:hAnsiTheme="majorBidi" w:cstheme="majorBidi"/>
          <w:sz w:val="24"/>
          <w:szCs w:val="24"/>
        </w:rPr>
        <w:t>on vehicle’s fuel consumption</w:t>
      </w:r>
      <w:r w:rsidR="00A571D2" w:rsidRPr="00EB6674">
        <w:rPr>
          <w:rFonts w:asciiTheme="majorBidi" w:hAnsiTheme="majorBidi" w:cstheme="majorBidi"/>
          <w:sz w:val="24"/>
          <w:szCs w:val="24"/>
        </w:rPr>
        <w:t>.  Replacing steel with the lighter aluminum in alternative body structures, such as space frame is an approach. Another is the use of composite and carbon fiber materials which can be introduced into the mainstream body design. A combination of material availability, cost consideration and a downgrade of structural performance</w:t>
      </w:r>
      <w:r w:rsidR="007F1326" w:rsidRPr="00EB6674">
        <w:rPr>
          <w:rFonts w:asciiTheme="majorBidi" w:hAnsiTheme="majorBidi" w:cstheme="majorBidi"/>
          <w:sz w:val="24"/>
          <w:szCs w:val="24"/>
        </w:rPr>
        <w:t xml:space="preserve"> in aluminum based structures</w:t>
      </w:r>
      <w:r w:rsidR="00A571D2" w:rsidRPr="00EB6674">
        <w:rPr>
          <w:rFonts w:asciiTheme="majorBidi" w:hAnsiTheme="majorBidi" w:cstheme="majorBidi"/>
          <w:sz w:val="24"/>
          <w:szCs w:val="24"/>
        </w:rPr>
        <w:t xml:space="preserve"> limit these approaches. </w:t>
      </w:r>
      <w:r w:rsidR="004C33BC" w:rsidRPr="00EB6674">
        <w:rPr>
          <w:rFonts w:asciiTheme="majorBidi" w:hAnsiTheme="majorBidi" w:cstheme="majorBidi"/>
          <w:sz w:val="24"/>
          <w:szCs w:val="24"/>
        </w:rPr>
        <w:t xml:space="preserve"> Another less radical approach involves using thinner steel, sandwiched steel</w:t>
      </w:r>
      <w:r w:rsidR="00955530" w:rsidRPr="00EB6674">
        <w:rPr>
          <w:rFonts w:asciiTheme="majorBidi" w:hAnsiTheme="majorBidi" w:cstheme="majorBidi"/>
          <w:sz w:val="24"/>
          <w:szCs w:val="24"/>
        </w:rPr>
        <w:t xml:space="preserve"> (layers of aluminum and steel), or new steel designs. The downside of the said convention</w:t>
      </w:r>
      <w:r w:rsidR="00914C29" w:rsidRPr="00EB6674">
        <w:rPr>
          <w:rFonts w:asciiTheme="majorBidi" w:hAnsiTheme="majorBidi" w:cstheme="majorBidi"/>
          <w:sz w:val="24"/>
          <w:szCs w:val="24"/>
        </w:rPr>
        <w:t>al</w:t>
      </w:r>
      <w:r w:rsidR="00955530" w:rsidRPr="00EB6674">
        <w:rPr>
          <w:rFonts w:asciiTheme="majorBidi" w:hAnsiTheme="majorBidi" w:cstheme="majorBidi"/>
          <w:sz w:val="24"/>
          <w:szCs w:val="24"/>
        </w:rPr>
        <w:t xml:space="preserve"> approaches is jeopardizing stiffness</w:t>
      </w:r>
      <w:r w:rsidR="00914C29" w:rsidRPr="00EB6674">
        <w:rPr>
          <w:rFonts w:asciiTheme="majorBidi" w:hAnsiTheme="majorBidi" w:cstheme="majorBidi"/>
          <w:sz w:val="24"/>
          <w:szCs w:val="24"/>
        </w:rPr>
        <w:t>, or increased costs</w:t>
      </w:r>
      <w:r w:rsidR="00D91678">
        <w:rPr>
          <w:rFonts w:asciiTheme="majorBidi" w:hAnsiTheme="majorBidi" w:cstheme="majorBidi"/>
          <w:sz w:val="24"/>
          <w:szCs w:val="24"/>
        </w:rPr>
        <w:t xml:space="preserve"> (</w:t>
      </w:r>
      <w:r w:rsidR="00150A10">
        <w:rPr>
          <w:rFonts w:asciiTheme="majorBidi" w:hAnsiTheme="majorBidi" w:cstheme="majorBidi"/>
          <w:sz w:val="24"/>
          <w:szCs w:val="24"/>
        </w:rPr>
        <w:t>Institute of Mechanical Engineers</w:t>
      </w:r>
      <w:r w:rsidR="00D91678">
        <w:rPr>
          <w:rFonts w:asciiTheme="majorBidi" w:hAnsiTheme="majorBidi" w:cstheme="majorBidi"/>
          <w:sz w:val="24"/>
          <w:szCs w:val="24"/>
        </w:rPr>
        <w:t>, 2011)</w:t>
      </w:r>
      <w:r w:rsidR="00914C29" w:rsidRPr="00EB6674">
        <w:rPr>
          <w:rFonts w:asciiTheme="majorBidi" w:hAnsiTheme="majorBidi" w:cstheme="majorBidi"/>
          <w:sz w:val="24"/>
          <w:szCs w:val="24"/>
        </w:rPr>
        <w:t>.</w:t>
      </w:r>
      <w:r w:rsidR="00955530" w:rsidRPr="00EB6674">
        <w:rPr>
          <w:rFonts w:asciiTheme="majorBidi" w:hAnsiTheme="majorBidi" w:cstheme="majorBidi"/>
          <w:sz w:val="24"/>
          <w:szCs w:val="24"/>
        </w:rPr>
        <w:t xml:space="preserve"> </w:t>
      </w:r>
    </w:p>
    <w:p w14:paraId="562E13ED" w14:textId="082D970C" w:rsidR="003047DC" w:rsidRPr="003047DC" w:rsidRDefault="003047DC" w:rsidP="00D33979">
      <w:pPr>
        <w:pStyle w:val="ListParagraph"/>
        <w:numPr>
          <w:ilvl w:val="0"/>
          <w:numId w:val="1"/>
        </w:numPr>
        <w:rPr>
          <w:rFonts w:asciiTheme="majorBidi" w:hAnsiTheme="majorBidi" w:cstheme="majorBidi"/>
          <w:b/>
          <w:bCs/>
          <w:sz w:val="24"/>
          <w:szCs w:val="24"/>
        </w:rPr>
      </w:pPr>
      <w:r w:rsidRPr="003047DC">
        <w:rPr>
          <w:rFonts w:asciiTheme="majorBidi" w:hAnsiTheme="majorBidi" w:cstheme="majorBidi"/>
          <w:b/>
          <w:bCs/>
          <w:sz w:val="24"/>
          <w:szCs w:val="24"/>
        </w:rPr>
        <w:t>Fuel</w:t>
      </w:r>
      <w:r>
        <w:rPr>
          <w:rFonts w:asciiTheme="majorBidi" w:hAnsiTheme="majorBidi" w:cstheme="majorBidi"/>
          <w:b/>
          <w:bCs/>
          <w:sz w:val="24"/>
          <w:szCs w:val="24"/>
        </w:rPr>
        <w:t xml:space="preserve">: </w:t>
      </w:r>
      <w:r w:rsidRPr="003047DC">
        <w:rPr>
          <w:rFonts w:asciiTheme="majorBidi" w:hAnsiTheme="majorBidi" w:cstheme="majorBidi"/>
          <w:sz w:val="24"/>
          <w:szCs w:val="24"/>
        </w:rPr>
        <w:t>The energy content</w:t>
      </w:r>
      <w:r>
        <w:rPr>
          <w:rFonts w:asciiTheme="majorBidi" w:hAnsiTheme="majorBidi" w:cstheme="majorBidi"/>
          <w:sz w:val="24"/>
          <w:szCs w:val="24"/>
        </w:rPr>
        <w:t xml:space="preserve"> per liter</w:t>
      </w:r>
      <w:r>
        <w:rPr>
          <w:rFonts w:asciiTheme="majorBidi" w:hAnsiTheme="majorBidi" w:cstheme="majorBidi"/>
          <w:b/>
          <w:bCs/>
          <w:sz w:val="24"/>
          <w:szCs w:val="24"/>
        </w:rPr>
        <w:t xml:space="preserve"> </w:t>
      </w:r>
      <w:r w:rsidRPr="003047DC">
        <w:rPr>
          <w:rFonts w:asciiTheme="majorBidi" w:hAnsiTheme="majorBidi" w:cstheme="majorBidi"/>
          <w:sz w:val="24"/>
          <w:szCs w:val="24"/>
        </w:rPr>
        <w:t>of diesel is higher</w:t>
      </w:r>
      <w:r>
        <w:rPr>
          <w:rFonts w:asciiTheme="majorBidi" w:hAnsiTheme="majorBidi" w:cstheme="majorBidi"/>
          <w:sz w:val="24"/>
          <w:szCs w:val="24"/>
        </w:rPr>
        <w:t xml:space="preserve"> than petrol</w:t>
      </w:r>
      <w:r w:rsidR="00B23F4C">
        <w:rPr>
          <w:rFonts w:asciiTheme="majorBidi" w:hAnsiTheme="majorBidi" w:cstheme="majorBidi"/>
          <w:sz w:val="24"/>
          <w:szCs w:val="24"/>
        </w:rPr>
        <w:t xml:space="preserve"> and a</w:t>
      </w:r>
      <w:r w:rsidR="008A5141">
        <w:rPr>
          <w:rFonts w:asciiTheme="majorBidi" w:hAnsiTheme="majorBidi" w:cstheme="majorBidi"/>
          <w:sz w:val="24"/>
          <w:szCs w:val="24"/>
        </w:rPr>
        <w:t xml:space="preserve">ccordingly </w:t>
      </w:r>
      <w:r w:rsidR="005F4017">
        <w:rPr>
          <w:rFonts w:asciiTheme="majorBidi" w:hAnsiTheme="majorBidi" w:cstheme="majorBidi"/>
          <w:sz w:val="24"/>
          <w:szCs w:val="24"/>
        </w:rPr>
        <w:t>has</w:t>
      </w:r>
      <w:r w:rsidR="008A5141">
        <w:rPr>
          <w:rFonts w:asciiTheme="majorBidi" w:hAnsiTheme="majorBidi" w:cstheme="majorBidi"/>
          <w:sz w:val="24"/>
          <w:szCs w:val="24"/>
        </w:rPr>
        <w:t xml:space="preserve"> </w:t>
      </w:r>
      <w:r w:rsidR="005F4017">
        <w:rPr>
          <w:rFonts w:asciiTheme="majorBidi" w:hAnsiTheme="majorBidi" w:cstheme="majorBidi"/>
          <w:sz w:val="24"/>
          <w:szCs w:val="24"/>
        </w:rPr>
        <w:t>lower</w:t>
      </w:r>
      <w:r w:rsidR="00B23F4C">
        <w:rPr>
          <w:rFonts w:asciiTheme="majorBidi" w:hAnsiTheme="majorBidi" w:cstheme="majorBidi"/>
          <w:sz w:val="24"/>
          <w:szCs w:val="24"/>
        </w:rPr>
        <w:t xml:space="preserve"> fuel consumption</w:t>
      </w:r>
      <w:r w:rsidR="00FF4BF3">
        <w:rPr>
          <w:rFonts w:asciiTheme="majorBidi" w:hAnsiTheme="majorBidi" w:cstheme="majorBidi"/>
          <w:sz w:val="24"/>
          <w:szCs w:val="24"/>
        </w:rPr>
        <w:t>. Diesel’s carbon content is higher and so it emits more greenhouse gases</w:t>
      </w:r>
      <w:r w:rsidR="002A0E50">
        <w:rPr>
          <w:rFonts w:asciiTheme="majorBidi" w:hAnsiTheme="majorBidi" w:cstheme="majorBidi"/>
          <w:sz w:val="24"/>
          <w:szCs w:val="24"/>
        </w:rPr>
        <w:t xml:space="preserve"> on per liter basis</w:t>
      </w:r>
      <w:r w:rsidR="008A5141">
        <w:rPr>
          <w:rFonts w:asciiTheme="majorBidi" w:hAnsiTheme="majorBidi" w:cstheme="majorBidi"/>
          <w:sz w:val="24"/>
          <w:szCs w:val="24"/>
        </w:rPr>
        <w:t xml:space="preserve">. However, the lower fuel </w:t>
      </w:r>
      <w:r w:rsidR="005F4017">
        <w:rPr>
          <w:rFonts w:asciiTheme="majorBidi" w:hAnsiTheme="majorBidi" w:cstheme="majorBidi"/>
          <w:sz w:val="24"/>
          <w:szCs w:val="24"/>
        </w:rPr>
        <w:t>consumption leads</w:t>
      </w:r>
      <w:r w:rsidR="008A5141">
        <w:rPr>
          <w:rFonts w:asciiTheme="majorBidi" w:hAnsiTheme="majorBidi" w:cstheme="majorBidi"/>
          <w:sz w:val="24"/>
          <w:szCs w:val="24"/>
        </w:rPr>
        <w:t xml:space="preserve"> to </w:t>
      </w:r>
      <w:r w:rsidR="005F4017">
        <w:rPr>
          <w:rFonts w:asciiTheme="majorBidi" w:hAnsiTheme="majorBidi" w:cstheme="majorBidi"/>
          <w:sz w:val="24"/>
          <w:szCs w:val="24"/>
        </w:rPr>
        <w:t>diesel-fuelled</w:t>
      </w:r>
      <w:r w:rsidR="008A5141">
        <w:rPr>
          <w:rFonts w:asciiTheme="majorBidi" w:hAnsiTheme="majorBidi" w:cstheme="majorBidi"/>
          <w:sz w:val="24"/>
          <w:szCs w:val="24"/>
        </w:rPr>
        <w:t xml:space="preserve"> vehicles, generally, emitting less greenhouse gases than petrol fuelled </w:t>
      </w:r>
      <w:r w:rsidR="005F4017">
        <w:rPr>
          <w:rFonts w:asciiTheme="majorBidi" w:hAnsiTheme="majorBidi" w:cstheme="majorBidi"/>
          <w:sz w:val="24"/>
          <w:szCs w:val="24"/>
        </w:rPr>
        <w:t>ones on</w:t>
      </w:r>
      <w:r w:rsidR="008A5141">
        <w:rPr>
          <w:rFonts w:asciiTheme="majorBidi" w:hAnsiTheme="majorBidi" w:cstheme="majorBidi"/>
          <w:sz w:val="24"/>
          <w:szCs w:val="24"/>
        </w:rPr>
        <w:t xml:space="preserve"> kilometer basis. </w:t>
      </w:r>
    </w:p>
    <w:p w14:paraId="40BF4A1B" w14:textId="77777777" w:rsidR="00AF3013" w:rsidRPr="0056719C" w:rsidRDefault="00DC1794" w:rsidP="00DC1794">
      <w:pPr>
        <w:rPr>
          <w:rFonts w:asciiTheme="majorBidi" w:hAnsiTheme="majorBidi" w:cstheme="majorBidi"/>
          <w:sz w:val="24"/>
          <w:szCs w:val="24"/>
        </w:rPr>
      </w:pPr>
      <w:r w:rsidRPr="00EB6674">
        <w:rPr>
          <w:rFonts w:asciiTheme="majorBidi" w:hAnsiTheme="majorBidi" w:cstheme="majorBidi"/>
          <w:sz w:val="24"/>
          <w:szCs w:val="24"/>
        </w:rPr>
        <w:lastRenderedPageBreak/>
        <w:t>It remains to be said that different commercially available technologies, used by different automotive manufacturer, address the abovementioned points. From the fuel consumption perspective</w:t>
      </w:r>
      <w:r w:rsidR="00A12F00" w:rsidRPr="00EB6674">
        <w:rPr>
          <w:rFonts w:asciiTheme="majorBidi" w:hAnsiTheme="majorBidi" w:cstheme="majorBidi"/>
          <w:sz w:val="24"/>
          <w:szCs w:val="24"/>
        </w:rPr>
        <w:t>, those technologies synergize</w:t>
      </w:r>
      <w:r w:rsidR="00A951FE" w:rsidRPr="00EB6674">
        <w:rPr>
          <w:rFonts w:asciiTheme="majorBidi" w:hAnsiTheme="majorBidi" w:cstheme="majorBidi"/>
          <w:sz w:val="24"/>
          <w:szCs w:val="24"/>
        </w:rPr>
        <w:t>, influence or constrain each other. Accordingly, arriving at the right combination of technologies that have an impact on reducing fuel consumption requires trade-offs between fuel consumption and other performance parameters.</w:t>
      </w:r>
    </w:p>
    <w:p w14:paraId="058AD3F1" w14:textId="77777777" w:rsidR="00FC3417" w:rsidRPr="00EB6674" w:rsidRDefault="00C35086" w:rsidP="009D59BD">
      <w:pPr>
        <w:pStyle w:val="Heading2"/>
      </w:pPr>
      <w:bookmarkStart w:id="8" w:name="_Toc400533329"/>
      <w:r w:rsidRPr="00EB6674">
        <w:t>Fuel Eco</w:t>
      </w:r>
      <w:r w:rsidR="009D59BD">
        <w:t>nomy S</w:t>
      </w:r>
      <w:r w:rsidRPr="00EB6674">
        <w:t>tandards</w:t>
      </w:r>
      <w:bookmarkEnd w:id="8"/>
    </w:p>
    <w:p w14:paraId="7D26B246" w14:textId="5CED8533" w:rsidR="00A12F00" w:rsidRPr="00EB6674" w:rsidRDefault="002A5A00" w:rsidP="00A12F00">
      <w:pPr>
        <w:rPr>
          <w:rFonts w:asciiTheme="majorBidi" w:hAnsiTheme="majorBidi" w:cstheme="majorBidi"/>
          <w:sz w:val="24"/>
          <w:szCs w:val="24"/>
        </w:rPr>
      </w:pPr>
      <w:r w:rsidRPr="00EB6674">
        <w:rPr>
          <w:rFonts w:asciiTheme="majorBidi" w:hAnsiTheme="majorBidi" w:cstheme="majorBidi"/>
          <w:sz w:val="24"/>
          <w:szCs w:val="24"/>
        </w:rPr>
        <w:t xml:space="preserve">Climate change, and the associated urge to  curtail the growth of greenhouse gas emissions by cutting down the consumption of fossil fuels, have combined with the uncertainties associated with volatile oil prices and the energy security challenges to bring the topic of reducing fuel consumption by vehicles to the fore of  global environmental and energy agendas. </w:t>
      </w:r>
      <w:r w:rsidR="009238B4">
        <w:rPr>
          <w:rFonts w:asciiTheme="majorBidi" w:hAnsiTheme="majorBidi" w:cstheme="majorBidi"/>
          <w:sz w:val="24"/>
          <w:szCs w:val="24"/>
        </w:rPr>
        <w:t xml:space="preserve">Light duty vehicles </w:t>
      </w:r>
      <w:r w:rsidR="00A12F00" w:rsidRPr="00EB6674">
        <w:rPr>
          <w:rFonts w:asciiTheme="majorBidi" w:hAnsiTheme="majorBidi" w:cstheme="majorBidi"/>
          <w:sz w:val="24"/>
          <w:szCs w:val="24"/>
        </w:rPr>
        <w:t xml:space="preserve">have the most significant weightage of </w:t>
      </w:r>
      <w:r w:rsidR="00EF71F5" w:rsidRPr="00EB6674">
        <w:rPr>
          <w:rFonts w:asciiTheme="majorBidi" w:hAnsiTheme="majorBidi" w:cstheme="majorBidi"/>
          <w:sz w:val="24"/>
          <w:szCs w:val="24"/>
        </w:rPr>
        <w:t xml:space="preserve">all </w:t>
      </w:r>
      <w:r w:rsidR="00A12F00" w:rsidRPr="00EB6674">
        <w:rPr>
          <w:rFonts w:asciiTheme="majorBidi" w:hAnsiTheme="majorBidi" w:cstheme="majorBidi"/>
          <w:sz w:val="24"/>
          <w:szCs w:val="24"/>
        </w:rPr>
        <w:t>vehicles’</w:t>
      </w:r>
      <w:r w:rsidR="00EF71F5" w:rsidRPr="00EB6674">
        <w:rPr>
          <w:rFonts w:asciiTheme="majorBidi" w:hAnsiTheme="majorBidi" w:cstheme="majorBidi"/>
          <w:sz w:val="24"/>
          <w:szCs w:val="24"/>
        </w:rPr>
        <w:t xml:space="preserve"> total fuel </w:t>
      </w:r>
      <w:r w:rsidR="008D6062" w:rsidRPr="00EB6674">
        <w:rPr>
          <w:rFonts w:asciiTheme="majorBidi" w:hAnsiTheme="majorBidi" w:cstheme="majorBidi"/>
          <w:sz w:val="24"/>
          <w:szCs w:val="24"/>
        </w:rPr>
        <w:t>consumption. In</w:t>
      </w:r>
      <w:r w:rsidR="00A12F00" w:rsidRPr="00EB6674">
        <w:rPr>
          <w:rFonts w:asciiTheme="majorBidi" w:hAnsiTheme="majorBidi" w:cstheme="majorBidi"/>
          <w:sz w:val="24"/>
          <w:szCs w:val="24"/>
        </w:rPr>
        <w:t xml:space="preserve"> response</w:t>
      </w:r>
      <w:r w:rsidR="00A669E5" w:rsidRPr="00EB6674">
        <w:rPr>
          <w:rFonts w:asciiTheme="majorBidi" w:hAnsiTheme="majorBidi" w:cstheme="majorBidi"/>
          <w:sz w:val="24"/>
          <w:szCs w:val="24"/>
        </w:rPr>
        <w:t>,</w:t>
      </w:r>
      <w:r w:rsidR="00A12F00" w:rsidRPr="00EB6674">
        <w:rPr>
          <w:rFonts w:asciiTheme="majorBidi" w:hAnsiTheme="majorBidi" w:cstheme="majorBidi"/>
          <w:sz w:val="24"/>
          <w:szCs w:val="24"/>
        </w:rPr>
        <w:t xml:space="preserve"> fuel economy standards have been   on </w:t>
      </w:r>
      <w:r w:rsidR="00A669E5" w:rsidRPr="00EB6674">
        <w:rPr>
          <w:rFonts w:asciiTheme="majorBidi" w:hAnsiTheme="majorBidi" w:cstheme="majorBidi"/>
          <w:sz w:val="24"/>
          <w:szCs w:val="24"/>
        </w:rPr>
        <w:t>debate, being</w:t>
      </w:r>
      <w:r w:rsidR="00A12F00" w:rsidRPr="00EB6674">
        <w:rPr>
          <w:rFonts w:asciiTheme="majorBidi" w:hAnsiTheme="majorBidi" w:cstheme="majorBidi"/>
          <w:sz w:val="24"/>
          <w:szCs w:val="24"/>
        </w:rPr>
        <w:t xml:space="preserve"> variably adopted by different </w:t>
      </w:r>
      <w:r w:rsidR="00EF71F5" w:rsidRPr="00EB6674">
        <w:rPr>
          <w:rFonts w:asciiTheme="majorBidi" w:hAnsiTheme="majorBidi" w:cstheme="majorBidi"/>
          <w:sz w:val="24"/>
          <w:szCs w:val="24"/>
        </w:rPr>
        <w:t>nations and transnational bodies,</w:t>
      </w:r>
      <w:r w:rsidR="00A12F00" w:rsidRPr="00EB6674">
        <w:rPr>
          <w:rFonts w:asciiTheme="majorBidi" w:hAnsiTheme="majorBidi" w:cstheme="majorBidi"/>
          <w:sz w:val="24"/>
          <w:szCs w:val="24"/>
        </w:rPr>
        <w:t xml:space="preserve"> since the oil c</w:t>
      </w:r>
      <w:r w:rsidR="00EF71F5" w:rsidRPr="00EB6674">
        <w:rPr>
          <w:rFonts w:asciiTheme="majorBidi" w:hAnsiTheme="majorBidi" w:cstheme="majorBidi"/>
          <w:sz w:val="24"/>
          <w:szCs w:val="24"/>
        </w:rPr>
        <w:t>r</w:t>
      </w:r>
      <w:r w:rsidR="00A12F00" w:rsidRPr="00EB6674">
        <w:rPr>
          <w:rFonts w:asciiTheme="majorBidi" w:hAnsiTheme="majorBidi" w:cstheme="majorBidi"/>
          <w:sz w:val="24"/>
          <w:szCs w:val="24"/>
        </w:rPr>
        <w:t>isis of the se</w:t>
      </w:r>
      <w:r w:rsidR="00A669E5" w:rsidRPr="00EB6674">
        <w:rPr>
          <w:rFonts w:asciiTheme="majorBidi" w:hAnsiTheme="majorBidi" w:cstheme="majorBidi"/>
          <w:sz w:val="24"/>
          <w:szCs w:val="24"/>
        </w:rPr>
        <w:t>venties</w:t>
      </w:r>
      <w:r w:rsidR="003D3005" w:rsidRPr="00EB6674">
        <w:rPr>
          <w:rFonts w:asciiTheme="majorBidi" w:hAnsiTheme="majorBidi" w:cstheme="majorBidi"/>
          <w:sz w:val="24"/>
          <w:szCs w:val="24"/>
        </w:rPr>
        <w:t>.</w:t>
      </w:r>
    </w:p>
    <w:p w14:paraId="50923318" w14:textId="77777777" w:rsidR="00A669E5" w:rsidRPr="00EB6674" w:rsidRDefault="00A669E5" w:rsidP="00A669E5">
      <w:pPr>
        <w:rPr>
          <w:rFonts w:asciiTheme="majorBidi" w:hAnsiTheme="majorBidi" w:cstheme="majorBidi"/>
          <w:sz w:val="24"/>
          <w:szCs w:val="24"/>
        </w:rPr>
      </w:pPr>
      <w:r w:rsidRPr="00EB6674">
        <w:rPr>
          <w:rFonts w:asciiTheme="majorBidi" w:hAnsiTheme="majorBidi" w:cstheme="majorBidi"/>
          <w:sz w:val="24"/>
          <w:szCs w:val="24"/>
        </w:rPr>
        <w:t>The European</w:t>
      </w:r>
      <w:r w:rsidR="00901E40" w:rsidRPr="00EB6674">
        <w:rPr>
          <w:rFonts w:asciiTheme="majorBidi" w:hAnsiTheme="majorBidi" w:cstheme="majorBidi"/>
          <w:sz w:val="24"/>
          <w:szCs w:val="24"/>
        </w:rPr>
        <w:t xml:space="preserve"> Union has</w:t>
      </w:r>
      <w:r w:rsidRPr="00EB6674">
        <w:rPr>
          <w:rFonts w:asciiTheme="majorBidi" w:hAnsiTheme="majorBidi" w:cstheme="majorBidi"/>
          <w:sz w:val="24"/>
          <w:szCs w:val="24"/>
        </w:rPr>
        <w:t xml:space="preserve"> set its fuel </w:t>
      </w:r>
      <w:r w:rsidR="00D0733A">
        <w:rPr>
          <w:rFonts w:asciiTheme="majorBidi" w:hAnsiTheme="majorBidi" w:cstheme="majorBidi"/>
          <w:sz w:val="24"/>
          <w:szCs w:val="24"/>
        </w:rPr>
        <w:t>consumption/</w:t>
      </w:r>
      <w:r w:rsidRPr="00EB6674">
        <w:rPr>
          <w:rFonts w:asciiTheme="majorBidi" w:hAnsiTheme="majorBidi" w:cstheme="majorBidi"/>
          <w:sz w:val="24"/>
          <w:szCs w:val="24"/>
        </w:rPr>
        <w:t>economy standards where manufacturers have to meet average fuel economy levels for their entire fleets (GFEI, 2014).</w:t>
      </w:r>
      <w:r w:rsidR="002B2045" w:rsidRPr="00EB6674">
        <w:rPr>
          <w:rFonts w:asciiTheme="majorBidi" w:hAnsiTheme="majorBidi" w:cstheme="majorBidi"/>
          <w:sz w:val="24"/>
          <w:szCs w:val="24"/>
        </w:rPr>
        <w:t xml:space="preserve"> The assigned value to each manufacturer is calculated on the basis</w:t>
      </w:r>
      <w:r w:rsidR="003D3005" w:rsidRPr="00EB6674">
        <w:rPr>
          <w:rFonts w:asciiTheme="majorBidi" w:hAnsiTheme="majorBidi" w:cstheme="majorBidi"/>
          <w:sz w:val="24"/>
          <w:szCs w:val="24"/>
        </w:rPr>
        <w:t xml:space="preserve"> of the mass of </w:t>
      </w:r>
      <w:r w:rsidR="003D5E6D" w:rsidRPr="00EB6674">
        <w:rPr>
          <w:rFonts w:asciiTheme="majorBidi" w:hAnsiTheme="majorBidi" w:cstheme="majorBidi"/>
          <w:sz w:val="24"/>
          <w:szCs w:val="24"/>
        </w:rPr>
        <w:t>a vehicle</w:t>
      </w:r>
      <w:r w:rsidR="002B2045" w:rsidRPr="00EB6674">
        <w:rPr>
          <w:rFonts w:asciiTheme="majorBidi" w:hAnsiTheme="majorBidi" w:cstheme="majorBidi"/>
          <w:sz w:val="24"/>
          <w:szCs w:val="24"/>
        </w:rPr>
        <w:t xml:space="preserve"> giving manufacturers a level of flexibility to increase</w:t>
      </w:r>
      <w:r w:rsidR="003D3005" w:rsidRPr="00EB6674">
        <w:rPr>
          <w:rFonts w:asciiTheme="majorBidi" w:hAnsiTheme="majorBidi" w:cstheme="majorBidi"/>
          <w:sz w:val="24"/>
          <w:szCs w:val="24"/>
        </w:rPr>
        <w:t xml:space="preserve"> and decrease the fuel economy </w:t>
      </w:r>
      <w:r w:rsidR="002B2045" w:rsidRPr="00EB6674">
        <w:rPr>
          <w:rFonts w:asciiTheme="majorBidi" w:hAnsiTheme="majorBidi" w:cstheme="majorBidi"/>
          <w:sz w:val="24"/>
          <w:szCs w:val="24"/>
        </w:rPr>
        <w:t>of their different models.</w:t>
      </w:r>
      <w:r w:rsidR="00592899" w:rsidRPr="00EB6674">
        <w:rPr>
          <w:rFonts w:asciiTheme="majorBidi" w:hAnsiTheme="majorBidi" w:cstheme="majorBidi"/>
          <w:sz w:val="24"/>
          <w:szCs w:val="24"/>
        </w:rPr>
        <w:t xml:space="preserve"> It also allows hi</w:t>
      </w:r>
      <w:r w:rsidR="004B00D1" w:rsidRPr="00EB6674">
        <w:rPr>
          <w:rFonts w:asciiTheme="majorBidi" w:hAnsiTheme="majorBidi" w:cstheme="majorBidi"/>
          <w:sz w:val="24"/>
          <w:szCs w:val="24"/>
        </w:rPr>
        <w:t>gher values for heavier</w:t>
      </w:r>
      <w:r w:rsidR="00592899" w:rsidRPr="00EB6674">
        <w:rPr>
          <w:rFonts w:asciiTheme="majorBidi" w:hAnsiTheme="majorBidi" w:cstheme="majorBidi"/>
          <w:sz w:val="24"/>
          <w:szCs w:val="24"/>
        </w:rPr>
        <w:t xml:space="preserve"> vehicles through what is termed</w:t>
      </w:r>
      <w:r w:rsidR="004B00D1" w:rsidRPr="00EB6674">
        <w:rPr>
          <w:rFonts w:asciiTheme="majorBidi" w:hAnsiTheme="majorBidi" w:cstheme="majorBidi"/>
          <w:sz w:val="24"/>
          <w:szCs w:val="24"/>
        </w:rPr>
        <w:t xml:space="preserve"> a limit curve</w:t>
      </w:r>
      <w:r w:rsidR="00DA1114" w:rsidRPr="00EB6674">
        <w:rPr>
          <w:rFonts w:asciiTheme="majorBidi" w:hAnsiTheme="majorBidi" w:cstheme="majorBidi"/>
          <w:sz w:val="24"/>
          <w:szCs w:val="24"/>
        </w:rPr>
        <w:t xml:space="preserve"> (Automobile Fuel Economy standards, 2010)</w:t>
      </w:r>
      <w:r w:rsidR="004B00D1" w:rsidRPr="00EB6674">
        <w:rPr>
          <w:rFonts w:asciiTheme="majorBidi" w:hAnsiTheme="majorBidi" w:cstheme="majorBidi"/>
          <w:sz w:val="24"/>
          <w:szCs w:val="24"/>
        </w:rPr>
        <w:t>. Penalties are applied using a sliding scale.</w:t>
      </w:r>
      <w:r w:rsidR="00030539" w:rsidRPr="00EB6674">
        <w:rPr>
          <w:rFonts w:asciiTheme="majorBidi" w:hAnsiTheme="majorBidi" w:cstheme="majorBidi"/>
          <w:sz w:val="24"/>
          <w:szCs w:val="24"/>
        </w:rPr>
        <w:t xml:space="preserve">  The fuel economy limits continue to increase in response to regulation</w:t>
      </w:r>
      <w:r w:rsidR="00DA1114" w:rsidRPr="00EB6674">
        <w:rPr>
          <w:rFonts w:asciiTheme="majorBidi" w:hAnsiTheme="majorBidi" w:cstheme="majorBidi"/>
          <w:sz w:val="24"/>
          <w:szCs w:val="24"/>
        </w:rPr>
        <w:t xml:space="preserve"> (Automobile Fuel Economy standards, 2010).</w:t>
      </w:r>
    </w:p>
    <w:p w14:paraId="532080C9" w14:textId="4230448C" w:rsidR="00931FB5" w:rsidRPr="00EB6674" w:rsidRDefault="004B00D1" w:rsidP="008002FE">
      <w:pPr>
        <w:rPr>
          <w:rFonts w:asciiTheme="majorBidi" w:hAnsiTheme="majorBidi" w:cstheme="majorBidi"/>
          <w:sz w:val="24"/>
          <w:szCs w:val="24"/>
        </w:rPr>
      </w:pPr>
      <w:r w:rsidRPr="00EB6674">
        <w:rPr>
          <w:rFonts w:asciiTheme="majorBidi" w:hAnsiTheme="majorBidi" w:cstheme="majorBidi"/>
          <w:sz w:val="24"/>
          <w:szCs w:val="24"/>
        </w:rPr>
        <w:t xml:space="preserve">In a European context, </w:t>
      </w:r>
      <w:r w:rsidR="004C6D14" w:rsidRPr="00EB6674">
        <w:rPr>
          <w:rFonts w:asciiTheme="majorBidi" w:hAnsiTheme="majorBidi" w:cstheme="majorBidi"/>
          <w:sz w:val="24"/>
          <w:szCs w:val="24"/>
        </w:rPr>
        <w:t xml:space="preserve">the standards are realistic meeting lesser resistance from concerned civil society portions due to the predominance of small cars, efficient and </w:t>
      </w:r>
      <w:r w:rsidR="00E019EF" w:rsidRPr="00EB6674">
        <w:rPr>
          <w:rFonts w:asciiTheme="majorBidi" w:hAnsiTheme="majorBidi" w:cstheme="majorBidi"/>
          <w:sz w:val="24"/>
          <w:szCs w:val="24"/>
        </w:rPr>
        <w:t>widely spread</w:t>
      </w:r>
      <w:r w:rsidR="004C6D14" w:rsidRPr="00EB6674">
        <w:rPr>
          <w:rFonts w:asciiTheme="majorBidi" w:hAnsiTheme="majorBidi" w:cstheme="majorBidi"/>
          <w:sz w:val="24"/>
          <w:szCs w:val="24"/>
        </w:rPr>
        <w:t xml:space="preserve"> public transportation and the proliferation of the more efficient diesel vehicles.</w:t>
      </w:r>
      <w:r w:rsidR="00E019EF">
        <w:rPr>
          <w:rFonts w:asciiTheme="majorBidi" w:hAnsiTheme="majorBidi" w:cstheme="majorBidi"/>
          <w:sz w:val="24"/>
          <w:szCs w:val="24"/>
        </w:rPr>
        <w:t xml:space="preserve"> </w:t>
      </w:r>
      <w:r w:rsidR="003D3005" w:rsidRPr="00EB6674">
        <w:rPr>
          <w:rFonts w:asciiTheme="majorBidi" w:hAnsiTheme="majorBidi" w:cstheme="majorBidi"/>
          <w:sz w:val="24"/>
          <w:szCs w:val="24"/>
        </w:rPr>
        <w:t>Japan followed in the foot</w:t>
      </w:r>
      <w:r w:rsidR="008E06BD" w:rsidRPr="00EB6674">
        <w:rPr>
          <w:rFonts w:asciiTheme="majorBidi" w:hAnsiTheme="majorBidi" w:cstheme="majorBidi"/>
          <w:sz w:val="24"/>
          <w:szCs w:val="24"/>
        </w:rPr>
        <w:t xml:space="preserve">steps </w:t>
      </w:r>
      <w:r w:rsidR="00FA392D" w:rsidRPr="00EB6674">
        <w:rPr>
          <w:rFonts w:asciiTheme="majorBidi" w:hAnsiTheme="majorBidi" w:cstheme="majorBidi"/>
          <w:sz w:val="24"/>
          <w:szCs w:val="24"/>
        </w:rPr>
        <w:t>of the EU with its own stringent weight-based standards (IPCC,</w:t>
      </w:r>
      <w:r w:rsidR="00931FB5" w:rsidRPr="00EB6674">
        <w:rPr>
          <w:rFonts w:asciiTheme="majorBidi" w:hAnsiTheme="majorBidi" w:cstheme="majorBidi"/>
          <w:sz w:val="24"/>
          <w:szCs w:val="24"/>
        </w:rPr>
        <w:t xml:space="preserve"> </w:t>
      </w:r>
      <w:r w:rsidR="00FA392D" w:rsidRPr="00EB6674">
        <w:rPr>
          <w:rFonts w:asciiTheme="majorBidi" w:hAnsiTheme="majorBidi" w:cstheme="majorBidi"/>
          <w:sz w:val="24"/>
          <w:szCs w:val="24"/>
        </w:rPr>
        <w:t>2007)</w:t>
      </w:r>
      <w:r w:rsidR="00E019EF">
        <w:rPr>
          <w:rFonts w:asciiTheme="majorBidi" w:hAnsiTheme="majorBidi" w:cstheme="majorBidi"/>
          <w:sz w:val="24"/>
          <w:szCs w:val="24"/>
        </w:rPr>
        <w:t xml:space="preserve">. </w:t>
      </w:r>
      <w:r w:rsidR="00931FB5" w:rsidRPr="00EB6674">
        <w:rPr>
          <w:rFonts w:asciiTheme="majorBidi" w:hAnsiTheme="majorBidi" w:cstheme="majorBidi"/>
          <w:sz w:val="24"/>
          <w:szCs w:val="24"/>
        </w:rPr>
        <w:t xml:space="preserve">The USA has been adopting fuel economy standards since the seventies which have </w:t>
      </w:r>
      <w:r w:rsidR="00F70787" w:rsidRPr="00EB6674">
        <w:rPr>
          <w:rFonts w:asciiTheme="majorBidi" w:hAnsiTheme="majorBidi" w:cstheme="majorBidi"/>
          <w:sz w:val="24"/>
          <w:szCs w:val="24"/>
        </w:rPr>
        <w:t>been slightly waxing and waning</w:t>
      </w:r>
      <w:r w:rsidR="00931FB5" w:rsidRPr="00EB6674">
        <w:rPr>
          <w:rFonts w:asciiTheme="majorBidi" w:hAnsiTheme="majorBidi" w:cstheme="majorBidi"/>
          <w:sz w:val="24"/>
          <w:szCs w:val="24"/>
        </w:rPr>
        <w:t xml:space="preserve"> over time</w:t>
      </w:r>
      <w:r w:rsidR="00F70787" w:rsidRPr="00EB6674">
        <w:rPr>
          <w:rFonts w:asciiTheme="majorBidi" w:hAnsiTheme="majorBidi" w:cstheme="majorBidi"/>
          <w:sz w:val="24"/>
          <w:szCs w:val="24"/>
        </w:rPr>
        <w:t xml:space="preserve"> for light trucks, and constant for passenger cars since 1990</w:t>
      </w:r>
      <w:r w:rsidR="00147C95" w:rsidRPr="00EB6674">
        <w:rPr>
          <w:rFonts w:asciiTheme="majorBidi" w:hAnsiTheme="majorBidi" w:cstheme="majorBidi"/>
          <w:sz w:val="24"/>
          <w:szCs w:val="24"/>
        </w:rPr>
        <w:t xml:space="preserve"> (GFEI, 2014)</w:t>
      </w:r>
      <w:r w:rsidR="00931FB5" w:rsidRPr="00EB6674">
        <w:rPr>
          <w:rFonts w:asciiTheme="majorBidi" w:hAnsiTheme="majorBidi" w:cstheme="majorBidi"/>
          <w:sz w:val="24"/>
          <w:szCs w:val="24"/>
        </w:rPr>
        <w:t>. Light Duty Vehicles were regulated using different standards for passenger cars and light trucks.</w:t>
      </w:r>
      <w:r w:rsidR="008002FE" w:rsidRPr="00EB6674">
        <w:rPr>
          <w:rFonts w:asciiTheme="majorBidi" w:hAnsiTheme="majorBidi" w:cstheme="majorBidi"/>
          <w:sz w:val="24"/>
          <w:szCs w:val="24"/>
        </w:rPr>
        <w:t xml:space="preserve"> The US standards count on fuel economy, unlike which target fuel consumption.</w:t>
      </w:r>
      <w:r w:rsidR="00147C95" w:rsidRPr="00EB6674">
        <w:rPr>
          <w:rFonts w:asciiTheme="majorBidi" w:hAnsiTheme="majorBidi" w:cstheme="majorBidi"/>
          <w:sz w:val="24"/>
          <w:szCs w:val="24"/>
        </w:rPr>
        <w:t xml:space="preserve"> </w:t>
      </w:r>
      <w:r w:rsidR="001B40DB" w:rsidRPr="00EB6674">
        <w:rPr>
          <w:rFonts w:asciiTheme="majorBidi" w:hAnsiTheme="majorBidi" w:cstheme="majorBidi"/>
          <w:sz w:val="24"/>
          <w:szCs w:val="24"/>
        </w:rPr>
        <w:t xml:space="preserve">The </w:t>
      </w:r>
      <w:r w:rsidR="00714F59" w:rsidRPr="00EB6674">
        <w:rPr>
          <w:rFonts w:asciiTheme="majorBidi" w:hAnsiTheme="majorBidi" w:cstheme="majorBidi"/>
          <w:sz w:val="24"/>
          <w:szCs w:val="24"/>
        </w:rPr>
        <w:t xml:space="preserve">same </w:t>
      </w:r>
      <w:r w:rsidR="001B40DB" w:rsidRPr="00EB6674">
        <w:rPr>
          <w:rFonts w:asciiTheme="majorBidi" w:hAnsiTheme="majorBidi" w:cstheme="majorBidi"/>
          <w:sz w:val="24"/>
          <w:szCs w:val="24"/>
        </w:rPr>
        <w:t>average</w:t>
      </w:r>
      <w:r w:rsidR="00714F59" w:rsidRPr="00EB6674">
        <w:rPr>
          <w:rFonts w:asciiTheme="majorBidi" w:hAnsiTheme="majorBidi" w:cstheme="majorBidi"/>
          <w:sz w:val="24"/>
          <w:szCs w:val="24"/>
        </w:rPr>
        <w:t xml:space="preserve"> fuel efficiency was </w:t>
      </w:r>
      <w:r w:rsidR="001B40DB" w:rsidRPr="00EB6674">
        <w:rPr>
          <w:rFonts w:asciiTheme="majorBidi" w:hAnsiTheme="majorBidi" w:cstheme="majorBidi"/>
          <w:sz w:val="24"/>
          <w:szCs w:val="24"/>
        </w:rPr>
        <w:t xml:space="preserve">required </w:t>
      </w:r>
      <w:r w:rsidR="008002FE" w:rsidRPr="00EB6674">
        <w:rPr>
          <w:rFonts w:asciiTheme="majorBidi" w:hAnsiTheme="majorBidi" w:cstheme="majorBidi"/>
          <w:sz w:val="24"/>
          <w:szCs w:val="24"/>
        </w:rPr>
        <w:t xml:space="preserve">from </w:t>
      </w:r>
      <w:r w:rsidR="00714F59" w:rsidRPr="00EB6674">
        <w:rPr>
          <w:rFonts w:asciiTheme="majorBidi" w:hAnsiTheme="majorBidi" w:cstheme="majorBidi"/>
          <w:sz w:val="24"/>
          <w:szCs w:val="24"/>
        </w:rPr>
        <w:t>each manufacturer regardless of vehicle attributes. It was calculated by the following formula</w:t>
      </w:r>
    </w:p>
    <w:p w14:paraId="04F5211B" w14:textId="77777777" w:rsidR="00E019EF" w:rsidRDefault="00714F59" w:rsidP="00F615EB">
      <w:pPr>
        <w:rPr>
          <w:rFonts w:asciiTheme="majorBidi" w:hAnsiTheme="majorBidi" w:cstheme="majorBidi"/>
          <w:sz w:val="24"/>
          <w:szCs w:val="24"/>
        </w:rPr>
      </w:pPr>
      <w:r w:rsidRPr="00EB6674">
        <w:rPr>
          <w:rFonts w:asciiTheme="majorBidi" w:hAnsiTheme="majorBidi" w:cstheme="majorBidi"/>
          <w:noProof/>
          <w:sz w:val="24"/>
          <w:szCs w:val="24"/>
        </w:rPr>
        <w:drawing>
          <wp:inline distT="0" distB="0" distL="0" distR="0" wp14:anchorId="19F6B5D0" wp14:editId="2A2CAE45">
            <wp:extent cx="2226635" cy="451925"/>
            <wp:effectExtent l="0" t="0" r="8890" b="5715"/>
            <wp:docPr id="4" name="Picture 4" descr="http://www.c2es.org/docUploads/vehicle-standards-equ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2es.org/docUploads/vehicle-standards-equation-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0015" cy="452611"/>
                    </a:xfrm>
                    <a:prstGeom prst="rect">
                      <a:avLst/>
                    </a:prstGeom>
                    <a:noFill/>
                    <a:ln>
                      <a:noFill/>
                    </a:ln>
                  </pic:spPr>
                </pic:pic>
              </a:graphicData>
            </a:graphic>
          </wp:inline>
        </w:drawing>
      </w:r>
    </w:p>
    <w:p w14:paraId="106678E4" w14:textId="77777777" w:rsidR="00C138A8" w:rsidRDefault="00714F59" w:rsidP="00F615EB">
      <w:pPr>
        <w:rPr>
          <w:rFonts w:asciiTheme="majorBidi" w:hAnsiTheme="majorBidi" w:cstheme="majorBidi"/>
          <w:sz w:val="24"/>
          <w:szCs w:val="24"/>
        </w:rPr>
      </w:pPr>
      <w:r w:rsidRPr="00EB6674">
        <w:rPr>
          <w:rFonts w:asciiTheme="majorBidi" w:hAnsiTheme="majorBidi" w:cstheme="majorBidi"/>
          <w:sz w:val="24"/>
          <w:szCs w:val="24"/>
        </w:rPr>
        <w:t>(Source: Centre for Climate and Energy solutions, 2014)</w:t>
      </w:r>
    </w:p>
    <w:p w14:paraId="08DD5EB4" w14:textId="14C018C3" w:rsidR="00714F59" w:rsidRPr="00EB6674" w:rsidRDefault="00714F59" w:rsidP="00F615EB">
      <w:pPr>
        <w:rPr>
          <w:rFonts w:asciiTheme="majorBidi" w:hAnsiTheme="majorBidi" w:cstheme="majorBidi"/>
          <w:sz w:val="24"/>
          <w:szCs w:val="24"/>
        </w:rPr>
      </w:pPr>
      <w:r w:rsidRPr="00EB6674">
        <w:rPr>
          <w:rFonts w:asciiTheme="majorBidi" w:hAnsiTheme="majorBidi" w:cstheme="majorBidi"/>
          <w:sz w:val="24"/>
          <w:szCs w:val="24"/>
        </w:rPr>
        <w:t>The downside of this approach is tha</w:t>
      </w:r>
      <w:r w:rsidR="00DC4BFF" w:rsidRPr="00EB6674">
        <w:rPr>
          <w:rFonts w:asciiTheme="majorBidi" w:hAnsiTheme="majorBidi" w:cstheme="majorBidi"/>
          <w:sz w:val="24"/>
          <w:szCs w:val="24"/>
        </w:rPr>
        <w:t xml:space="preserve">t </w:t>
      </w:r>
      <w:r w:rsidR="00DC7AA3" w:rsidRPr="00EB6674">
        <w:rPr>
          <w:rFonts w:asciiTheme="majorBidi" w:hAnsiTheme="majorBidi" w:cstheme="majorBidi"/>
          <w:sz w:val="24"/>
          <w:szCs w:val="24"/>
        </w:rPr>
        <w:t>the p</w:t>
      </w:r>
      <w:r w:rsidRPr="00EB6674">
        <w:rPr>
          <w:rFonts w:asciiTheme="majorBidi" w:hAnsiTheme="majorBidi" w:cstheme="majorBidi"/>
          <w:sz w:val="24"/>
          <w:szCs w:val="24"/>
        </w:rPr>
        <w:t>l</w:t>
      </w:r>
      <w:r w:rsidR="00DC7AA3" w:rsidRPr="00EB6674">
        <w:rPr>
          <w:rFonts w:asciiTheme="majorBidi" w:hAnsiTheme="majorBidi" w:cstheme="majorBidi"/>
          <w:sz w:val="24"/>
          <w:szCs w:val="24"/>
        </w:rPr>
        <w:t>a</w:t>
      </w:r>
      <w:r w:rsidRPr="00EB6674">
        <w:rPr>
          <w:rFonts w:asciiTheme="majorBidi" w:hAnsiTheme="majorBidi" w:cstheme="majorBidi"/>
          <w:sz w:val="24"/>
          <w:szCs w:val="24"/>
        </w:rPr>
        <w:t>yfield</w:t>
      </w:r>
      <w:r w:rsidR="00DC7AA3" w:rsidRPr="00EB6674">
        <w:rPr>
          <w:rFonts w:asciiTheme="majorBidi" w:hAnsiTheme="majorBidi" w:cstheme="majorBidi"/>
          <w:sz w:val="24"/>
          <w:szCs w:val="24"/>
        </w:rPr>
        <w:t xml:space="preserve"> is not level for large vehicle segments since compliance is easier for smaller ones.</w:t>
      </w:r>
      <w:r w:rsidR="005C4E56" w:rsidRPr="00EB6674">
        <w:rPr>
          <w:rFonts w:asciiTheme="majorBidi" w:hAnsiTheme="majorBidi" w:cstheme="majorBidi"/>
          <w:sz w:val="24"/>
          <w:szCs w:val="24"/>
        </w:rPr>
        <w:t xml:space="preserve"> The standards </w:t>
      </w:r>
      <w:r w:rsidR="008002FE" w:rsidRPr="00EB6674">
        <w:rPr>
          <w:rFonts w:asciiTheme="majorBidi" w:hAnsiTheme="majorBidi" w:cstheme="majorBidi"/>
          <w:sz w:val="24"/>
          <w:szCs w:val="24"/>
        </w:rPr>
        <w:t xml:space="preserve">were assessed </w:t>
      </w:r>
      <w:r w:rsidR="00711F04" w:rsidRPr="00EB6674">
        <w:rPr>
          <w:rFonts w:asciiTheme="majorBidi" w:hAnsiTheme="majorBidi" w:cstheme="majorBidi"/>
          <w:sz w:val="24"/>
          <w:szCs w:val="24"/>
        </w:rPr>
        <w:t>by e</w:t>
      </w:r>
      <w:r w:rsidR="005C4E56" w:rsidRPr="00EB6674">
        <w:rPr>
          <w:rFonts w:asciiTheme="majorBidi" w:hAnsiTheme="majorBidi" w:cstheme="majorBidi"/>
          <w:sz w:val="24"/>
          <w:szCs w:val="24"/>
        </w:rPr>
        <w:t xml:space="preserve">xperts </w:t>
      </w:r>
      <w:r w:rsidR="00711F04" w:rsidRPr="00EB6674">
        <w:rPr>
          <w:rFonts w:asciiTheme="majorBidi" w:hAnsiTheme="majorBidi" w:cstheme="majorBidi"/>
          <w:sz w:val="24"/>
          <w:szCs w:val="24"/>
        </w:rPr>
        <w:t xml:space="preserve">to have </w:t>
      </w:r>
      <w:r w:rsidR="00810D6F">
        <w:rPr>
          <w:rFonts w:asciiTheme="majorBidi" w:hAnsiTheme="majorBidi" w:cstheme="majorBidi"/>
          <w:sz w:val="24"/>
          <w:szCs w:val="24"/>
        </w:rPr>
        <w:t>le</w:t>
      </w:r>
      <w:r w:rsidR="00711F04" w:rsidRPr="00EB6674">
        <w:rPr>
          <w:rFonts w:asciiTheme="majorBidi" w:hAnsiTheme="majorBidi" w:cstheme="majorBidi"/>
          <w:sz w:val="24"/>
          <w:szCs w:val="24"/>
        </w:rPr>
        <w:t xml:space="preserve">d to </w:t>
      </w:r>
      <w:r w:rsidR="005C4E56" w:rsidRPr="00EB6674">
        <w:rPr>
          <w:rFonts w:asciiTheme="majorBidi" w:hAnsiTheme="majorBidi" w:cstheme="majorBidi"/>
          <w:sz w:val="24"/>
          <w:szCs w:val="24"/>
        </w:rPr>
        <w:t xml:space="preserve">fuel savings of </w:t>
      </w:r>
      <w:r w:rsidR="00711F04" w:rsidRPr="00EB6674">
        <w:rPr>
          <w:rFonts w:asciiTheme="majorBidi" w:hAnsiTheme="majorBidi" w:cstheme="majorBidi"/>
          <w:sz w:val="24"/>
          <w:szCs w:val="24"/>
        </w:rPr>
        <w:t>billion</w:t>
      </w:r>
      <w:r w:rsidR="005C4E56" w:rsidRPr="00EB6674">
        <w:rPr>
          <w:rFonts w:asciiTheme="majorBidi" w:hAnsiTheme="majorBidi" w:cstheme="majorBidi"/>
          <w:sz w:val="24"/>
          <w:szCs w:val="24"/>
        </w:rPr>
        <w:t>s</w:t>
      </w:r>
      <w:r w:rsidR="00711F04" w:rsidRPr="00EB6674">
        <w:rPr>
          <w:rFonts w:asciiTheme="majorBidi" w:hAnsiTheme="majorBidi" w:cstheme="majorBidi"/>
          <w:sz w:val="24"/>
          <w:szCs w:val="24"/>
        </w:rPr>
        <w:t xml:space="preserve"> of barrels of oil </w:t>
      </w:r>
      <w:r w:rsidR="00A35524">
        <w:rPr>
          <w:rFonts w:asciiTheme="majorBidi" w:hAnsiTheme="majorBidi" w:cstheme="majorBidi"/>
          <w:sz w:val="24"/>
          <w:szCs w:val="24"/>
        </w:rPr>
        <w:t>over the years (Government Accountability O</w:t>
      </w:r>
      <w:r w:rsidR="005C4E56" w:rsidRPr="00EB6674">
        <w:rPr>
          <w:rFonts w:asciiTheme="majorBidi" w:hAnsiTheme="majorBidi" w:cstheme="majorBidi"/>
          <w:sz w:val="24"/>
          <w:szCs w:val="24"/>
        </w:rPr>
        <w:t>ffice, 2008).</w:t>
      </w:r>
      <w:r w:rsidR="00976CC6" w:rsidRPr="00EB6674">
        <w:rPr>
          <w:rFonts w:asciiTheme="majorBidi" w:hAnsiTheme="majorBidi" w:cstheme="majorBidi"/>
          <w:sz w:val="24"/>
          <w:szCs w:val="24"/>
        </w:rPr>
        <w:t xml:space="preserve"> </w:t>
      </w:r>
    </w:p>
    <w:p w14:paraId="2F86C4EE" w14:textId="57C6CD08" w:rsidR="009D59BD" w:rsidRPr="0056719C" w:rsidRDefault="00901E40" w:rsidP="00A669E5">
      <w:pPr>
        <w:rPr>
          <w:rFonts w:asciiTheme="majorBidi" w:hAnsiTheme="majorBidi" w:cstheme="majorBidi"/>
          <w:sz w:val="24"/>
          <w:szCs w:val="24"/>
        </w:rPr>
      </w:pPr>
      <w:r w:rsidRPr="00EB6674">
        <w:rPr>
          <w:rFonts w:asciiTheme="majorBidi" w:hAnsiTheme="majorBidi" w:cstheme="majorBidi"/>
          <w:sz w:val="24"/>
          <w:szCs w:val="24"/>
        </w:rPr>
        <w:lastRenderedPageBreak/>
        <w:t>With t</w:t>
      </w:r>
      <w:r w:rsidR="00D55FA7" w:rsidRPr="00EB6674">
        <w:rPr>
          <w:rFonts w:asciiTheme="majorBidi" w:hAnsiTheme="majorBidi" w:cstheme="majorBidi"/>
          <w:sz w:val="24"/>
          <w:szCs w:val="24"/>
        </w:rPr>
        <w:t xml:space="preserve">he support of the </w:t>
      </w:r>
      <w:r w:rsidRPr="00EB6674">
        <w:rPr>
          <w:rFonts w:asciiTheme="majorBidi" w:hAnsiTheme="majorBidi" w:cstheme="majorBidi"/>
          <w:sz w:val="24"/>
          <w:szCs w:val="24"/>
        </w:rPr>
        <w:t xml:space="preserve">Obama administration, the US Environmental Protection Agency jointly </w:t>
      </w:r>
      <w:r w:rsidR="00D55FA7" w:rsidRPr="00EB6674">
        <w:rPr>
          <w:rFonts w:asciiTheme="majorBidi" w:hAnsiTheme="majorBidi" w:cstheme="majorBidi"/>
          <w:sz w:val="24"/>
          <w:szCs w:val="24"/>
        </w:rPr>
        <w:t>with the National h</w:t>
      </w:r>
      <w:r w:rsidRPr="00EB6674">
        <w:rPr>
          <w:rFonts w:asciiTheme="majorBidi" w:hAnsiTheme="majorBidi" w:cstheme="majorBidi"/>
          <w:sz w:val="24"/>
          <w:szCs w:val="24"/>
        </w:rPr>
        <w:t>ighway Traffic Safety administration has set fuel economy standards for 2017-2025 vehicles.</w:t>
      </w:r>
      <w:r w:rsidR="00D55FA7" w:rsidRPr="00EB6674">
        <w:rPr>
          <w:rFonts w:asciiTheme="majorBidi" w:hAnsiTheme="majorBidi" w:cstheme="majorBidi"/>
          <w:sz w:val="24"/>
          <w:szCs w:val="24"/>
        </w:rPr>
        <w:t xml:space="preserve"> Vehicles are classified on size basis for two broad categories</w:t>
      </w:r>
      <w:r w:rsidR="00B96250" w:rsidRPr="00EB6674">
        <w:rPr>
          <w:rFonts w:asciiTheme="majorBidi" w:hAnsiTheme="majorBidi" w:cstheme="majorBidi"/>
          <w:sz w:val="24"/>
          <w:szCs w:val="24"/>
        </w:rPr>
        <w:t>:</w:t>
      </w:r>
      <w:r w:rsidR="00D55FA7" w:rsidRPr="00EB6674">
        <w:rPr>
          <w:rFonts w:asciiTheme="majorBidi" w:hAnsiTheme="majorBidi" w:cstheme="majorBidi"/>
          <w:sz w:val="24"/>
          <w:szCs w:val="24"/>
        </w:rPr>
        <w:t xml:space="preserve"> passenger cars and light trucks</w:t>
      </w:r>
      <w:r w:rsidR="00B96250" w:rsidRPr="00EB6674">
        <w:rPr>
          <w:rFonts w:asciiTheme="majorBidi" w:hAnsiTheme="majorBidi" w:cstheme="majorBidi"/>
          <w:sz w:val="24"/>
          <w:szCs w:val="24"/>
        </w:rPr>
        <w:t>. Vehicle</w:t>
      </w:r>
      <w:r w:rsidR="00F705D6" w:rsidRPr="00EB6674">
        <w:rPr>
          <w:rFonts w:asciiTheme="majorBidi" w:hAnsiTheme="majorBidi" w:cstheme="majorBidi"/>
          <w:sz w:val="24"/>
          <w:szCs w:val="24"/>
        </w:rPr>
        <w:t xml:space="preserve"> size (footprint) </w:t>
      </w:r>
      <w:r w:rsidR="00EF0F98" w:rsidRPr="00EB6674">
        <w:rPr>
          <w:rFonts w:asciiTheme="majorBidi" w:hAnsiTheme="majorBidi" w:cstheme="majorBidi"/>
          <w:sz w:val="24"/>
          <w:szCs w:val="24"/>
        </w:rPr>
        <w:t xml:space="preserve">which is </w:t>
      </w:r>
      <w:r w:rsidR="00B96250" w:rsidRPr="00EB6674">
        <w:rPr>
          <w:rFonts w:asciiTheme="majorBidi" w:hAnsiTheme="majorBidi" w:cstheme="majorBidi"/>
          <w:sz w:val="24"/>
          <w:szCs w:val="24"/>
        </w:rPr>
        <w:t>determined in a standardized way enters a formula that accounts</w:t>
      </w:r>
      <w:r w:rsidR="00714F59" w:rsidRPr="00EB6674">
        <w:rPr>
          <w:rFonts w:asciiTheme="majorBidi" w:hAnsiTheme="majorBidi" w:cstheme="majorBidi"/>
          <w:sz w:val="24"/>
          <w:szCs w:val="24"/>
        </w:rPr>
        <w:t xml:space="preserve"> as well</w:t>
      </w:r>
      <w:r w:rsidR="00B96250" w:rsidRPr="00EB6674">
        <w:rPr>
          <w:rFonts w:asciiTheme="majorBidi" w:hAnsiTheme="majorBidi" w:cstheme="majorBidi"/>
          <w:sz w:val="24"/>
          <w:szCs w:val="24"/>
        </w:rPr>
        <w:t xml:space="preserve"> for a manufacturer’s production</w:t>
      </w:r>
      <w:r w:rsidR="005C478E" w:rsidRPr="00EB6674">
        <w:rPr>
          <w:rFonts w:asciiTheme="majorBidi" w:hAnsiTheme="majorBidi" w:cstheme="majorBidi"/>
          <w:sz w:val="24"/>
          <w:szCs w:val="24"/>
        </w:rPr>
        <w:t xml:space="preserve"> or sales</w:t>
      </w:r>
      <w:r w:rsidR="00B96250" w:rsidRPr="00EB6674">
        <w:rPr>
          <w:rFonts w:asciiTheme="majorBidi" w:hAnsiTheme="majorBidi" w:cstheme="majorBidi"/>
          <w:sz w:val="24"/>
          <w:szCs w:val="24"/>
        </w:rPr>
        <w:t xml:space="preserve"> level</w:t>
      </w:r>
      <w:r w:rsidR="00EF0F98" w:rsidRPr="00EB6674">
        <w:rPr>
          <w:rFonts w:asciiTheme="majorBidi" w:hAnsiTheme="majorBidi" w:cstheme="majorBidi"/>
          <w:sz w:val="24"/>
          <w:szCs w:val="24"/>
        </w:rPr>
        <w:t xml:space="preserve">. The standards are designed to accomplish </w:t>
      </w:r>
      <w:r w:rsidR="00DC4BFF" w:rsidRPr="00EB6674">
        <w:rPr>
          <w:rFonts w:asciiTheme="majorBidi" w:hAnsiTheme="majorBidi" w:cstheme="majorBidi"/>
          <w:sz w:val="24"/>
          <w:szCs w:val="24"/>
        </w:rPr>
        <w:t xml:space="preserve">a US fleet average </w:t>
      </w:r>
      <w:r w:rsidR="003C3E30" w:rsidRPr="00EB6674">
        <w:rPr>
          <w:rFonts w:asciiTheme="majorBidi" w:hAnsiTheme="majorBidi" w:cstheme="majorBidi"/>
          <w:sz w:val="24"/>
          <w:szCs w:val="24"/>
        </w:rPr>
        <w:t>fuel economy</w:t>
      </w:r>
      <w:r w:rsidR="000622D9">
        <w:rPr>
          <w:rFonts w:asciiTheme="majorBidi" w:hAnsiTheme="majorBidi" w:cstheme="majorBidi"/>
          <w:sz w:val="24"/>
          <w:szCs w:val="24"/>
        </w:rPr>
        <w:t>,</w:t>
      </w:r>
      <w:r w:rsidR="00ED236C" w:rsidRPr="00EB6674">
        <w:rPr>
          <w:rFonts w:asciiTheme="majorBidi" w:hAnsiTheme="majorBidi" w:cstheme="majorBidi"/>
          <w:sz w:val="24"/>
          <w:szCs w:val="24"/>
        </w:rPr>
        <w:t xml:space="preserve"> by 2016</w:t>
      </w:r>
      <w:r w:rsidR="000622D9">
        <w:rPr>
          <w:rFonts w:asciiTheme="majorBidi" w:hAnsiTheme="majorBidi" w:cstheme="majorBidi"/>
          <w:sz w:val="24"/>
          <w:szCs w:val="24"/>
        </w:rPr>
        <w:t>,</w:t>
      </w:r>
      <w:r w:rsidR="003C3E30" w:rsidRPr="00EB6674">
        <w:rPr>
          <w:rFonts w:asciiTheme="majorBidi" w:hAnsiTheme="majorBidi" w:cstheme="majorBidi"/>
          <w:sz w:val="24"/>
          <w:szCs w:val="24"/>
        </w:rPr>
        <w:t xml:space="preserve"> of </w:t>
      </w:r>
      <w:r w:rsidR="00DC4BFF" w:rsidRPr="00EB6674">
        <w:rPr>
          <w:rFonts w:asciiTheme="majorBidi" w:hAnsiTheme="majorBidi" w:cstheme="majorBidi"/>
          <w:sz w:val="24"/>
          <w:szCs w:val="24"/>
        </w:rPr>
        <w:t xml:space="preserve">at least </w:t>
      </w:r>
      <w:r w:rsidR="003C3E30" w:rsidRPr="00EB6674">
        <w:rPr>
          <w:rFonts w:asciiTheme="majorBidi" w:hAnsiTheme="majorBidi" w:cstheme="majorBidi"/>
          <w:sz w:val="24"/>
          <w:szCs w:val="24"/>
        </w:rPr>
        <w:t>35.5</w:t>
      </w:r>
      <w:r w:rsidR="00ED236C" w:rsidRPr="00EB6674">
        <w:rPr>
          <w:rFonts w:asciiTheme="majorBidi" w:hAnsiTheme="majorBidi" w:cstheme="majorBidi"/>
          <w:sz w:val="24"/>
          <w:szCs w:val="24"/>
        </w:rPr>
        <w:t xml:space="preserve"> </w:t>
      </w:r>
      <w:r w:rsidR="003C3E30" w:rsidRPr="00EB6674">
        <w:rPr>
          <w:rFonts w:asciiTheme="majorBidi" w:hAnsiTheme="majorBidi" w:cstheme="majorBidi"/>
          <w:sz w:val="24"/>
          <w:szCs w:val="24"/>
        </w:rPr>
        <w:t xml:space="preserve">(GFEI, </w:t>
      </w:r>
      <w:r w:rsidR="000622D9">
        <w:rPr>
          <w:rFonts w:asciiTheme="majorBidi" w:hAnsiTheme="majorBidi" w:cstheme="majorBidi"/>
          <w:sz w:val="24"/>
          <w:szCs w:val="24"/>
        </w:rPr>
        <w:t>2014</w:t>
      </w:r>
      <w:r w:rsidR="003C3E30" w:rsidRPr="00EB6674">
        <w:rPr>
          <w:rFonts w:asciiTheme="majorBidi" w:hAnsiTheme="majorBidi" w:cstheme="majorBidi"/>
          <w:sz w:val="24"/>
          <w:szCs w:val="24"/>
        </w:rPr>
        <w:t xml:space="preserve">). The target for 2025 is 54.5 </w:t>
      </w:r>
      <w:r w:rsidR="00ED236C" w:rsidRPr="00EB6674">
        <w:rPr>
          <w:rFonts w:asciiTheme="majorBidi" w:hAnsiTheme="majorBidi" w:cstheme="majorBidi"/>
          <w:sz w:val="24"/>
          <w:szCs w:val="24"/>
        </w:rPr>
        <w:t>mpg (</w:t>
      </w:r>
      <w:r w:rsidR="00A35524">
        <w:rPr>
          <w:rFonts w:asciiTheme="majorBidi" w:hAnsiTheme="majorBidi" w:cstheme="majorBidi"/>
          <w:sz w:val="24"/>
          <w:szCs w:val="24"/>
        </w:rPr>
        <w:t>New Y</w:t>
      </w:r>
      <w:r w:rsidR="003C3E30" w:rsidRPr="00EB6674">
        <w:rPr>
          <w:rFonts w:asciiTheme="majorBidi" w:hAnsiTheme="majorBidi" w:cstheme="majorBidi"/>
          <w:sz w:val="24"/>
          <w:szCs w:val="24"/>
        </w:rPr>
        <w:t>ork Times, 2012)</w:t>
      </w:r>
      <w:r w:rsidR="009B5FE8">
        <w:rPr>
          <w:rFonts w:asciiTheme="majorBidi" w:hAnsiTheme="majorBidi" w:cstheme="majorBidi"/>
          <w:sz w:val="24"/>
          <w:szCs w:val="24"/>
        </w:rPr>
        <w:t xml:space="preserve">. A shortcoming of </w:t>
      </w:r>
      <w:r w:rsidR="00E019EF">
        <w:rPr>
          <w:rFonts w:asciiTheme="majorBidi" w:hAnsiTheme="majorBidi" w:cstheme="majorBidi"/>
          <w:sz w:val="24"/>
          <w:szCs w:val="24"/>
        </w:rPr>
        <w:t>those standards</w:t>
      </w:r>
      <w:r w:rsidR="009B5FE8">
        <w:rPr>
          <w:rFonts w:asciiTheme="majorBidi" w:hAnsiTheme="majorBidi" w:cstheme="majorBidi"/>
          <w:sz w:val="24"/>
          <w:szCs w:val="24"/>
        </w:rPr>
        <w:t xml:space="preserve"> is restricting classifications of vehicles to size, which in light of the earlier discussion on the factors affecting energy efficiency of vehicles</w:t>
      </w:r>
      <w:r w:rsidR="00E170A7">
        <w:rPr>
          <w:rFonts w:asciiTheme="majorBidi" w:hAnsiTheme="majorBidi" w:cstheme="majorBidi"/>
          <w:sz w:val="24"/>
          <w:szCs w:val="24"/>
        </w:rPr>
        <w:t>, is a factor among many.</w:t>
      </w:r>
    </w:p>
    <w:p w14:paraId="603DB860" w14:textId="77777777" w:rsidR="00E80818" w:rsidRPr="00FF5C23" w:rsidRDefault="00E80818" w:rsidP="009D59BD">
      <w:pPr>
        <w:pStyle w:val="Heading2"/>
      </w:pPr>
      <w:bookmarkStart w:id="9" w:name="_Toc400533330"/>
      <w:r w:rsidRPr="00FF5C23">
        <w:t>Driving Cycles</w:t>
      </w:r>
      <w:bookmarkEnd w:id="9"/>
    </w:p>
    <w:p w14:paraId="3AD71384" w14:textId="77777777" w:rsidR="00C35086" w:rsidRDefault="00810D6F" w:rsidP="00AF6A1D">
      <w:pPr>
        <w:rPr>
          <w:rFonts w:asciiTheme="majorBidi" w:hAnsiTheme="majorBidi" w:cstheme="majorBidi"/>
          <w:sz w:val="24"/>
          <w:szCs w:val="24"/>
        </w:rPr>
      </w:pPr>
      <w:r>
        <w:rPr>
          <w:rFonts w:asciiTheme="majorBidi" w:hAnsiTheme="majorBidi" w:cstheme="majorBidi"/>
          <w:sz w:val="24"/>
          <w:szCs w:val="24"/>
        </w:rPr>
        <w:t>Implementation of fuel economy standards requires the enforcing agency to test the fuel economy or consumption figures presented model manufacturers. The applicable driving cycle should mimic</w:t>
      </w:r>
      <w:r w:rsidR="00A35524">
        <w:rPr>
          <w:rFonts w:asciiTheme="majorBidi" w:hAnsiTheme="majorBidi" w:cstheme="majorBidi"/>
          <w:sz w:val="24"/>
          <w:szCs w:val="24"/>
        </w:rPr>
        <w:t xml:space="preserve"> typical driving patterns, behavior</w:t>
      </w:r>
      <w:r w:rsidR="0087332B">
        <w:rPr>
          <w:rFonts w:asciiTheme="majorBidi" w:hAnsiTheme="majorBidi" w:cstheme="majorBidi"/>
          <w:sz w:val="24"/>
          <w:szCs w:val="24"/>
        </w:rPr>
        <w:t xml:space="preserve"> </w:t>
      </w:r>
      <w:r w:rsidR="00A35524">
        <w:rPr>
          <w:rFonts w:asciiTheme="majorBidi" w:hAnsiTheme="majorBidi" w:cstheme="majorBidi"/>
          <w:sz w:val="24"/>
          <w:szCs w:val="24"/>
        </w:rPr>
        <w:t>stops, accel</w:t>
      </w:r>
      <w:r w:rsidR="0087332B">
        <w:rPr>
          <w:rFonts w:asciiTheme="majorBidi" w:hAnsiTheme="majorBidi" w:cstheme="majorBidi"/>
          <w:sz w:val="24"/>
          <w:szCs w:val="24"/>
        </w:rPr>
        <w:t>e</w:t>
      </w:r>
      <w:r w:rsidR="00A35524">
        <w:rPr>
          <w:rFonts w:asciiTheme="majorBidi" w:hAnsiTheme="majorBidi" w:cstheme="majorBidi"/>
          <w:sz w:val="24"/>
          <w:szCs w:val="24"/>
        </w:rPr>
        <w:t>rations, speed ranges with duration for each of urban and highway driving.</w:t>
      </w:r>
      <w:r w:rsidR="001450D4">
        <w:rPr>
          <w:rFonts w:asciiTheme="majorBidi" w:hAnsiTheme="majorBidi" w:cstheme="majorBidi"/>
          <w:sz w:val="24"/>
          <w:szCs w:val="24"/>
        </w:rPr>
        <w:t xml:space="preserve"> For comparison across vehicles,</w:t>
      </w:r>
      <w:r w:rsidR="00AF6A1D">
        <w:rPr>
          <w:rFonts w:asciiTheme="majorBidi" w:hAnsiTheme="majorBidi" w:cstheme="majorBidi"/>
          <w:sz w:val="24"/>
          <w:szCs w:val="24"/>
        </w:rPr>
        <w:t xml:space="preserve"> </w:t>
      </w:r>
      <w:r w:rsidR="001450D4">
        <w:rPr>
          <w:rFonts w:asciiTheme="majorBidi" w:hAnsiTheme="majorBidi" w:cstheme="majorBidi"/>
          <w:sz w:val="24"/>
          <w:szCs w:val="24"/>
        </w:rPr>
        <w:t>a</w:t>
      </w:r>
      <w:r w:rsidR="00AF6A1D">
        <w:rPr>
          <w:rFonts w:asciiTheme="majorBidi" w:hAnsiTheme="majorBidi" w:cstheme="majorBidi"/>
          <w:sz w:val="24"/>
          <w:szCs w:val="24"/>
        </w:rPr>
        <w:t xml:space="preserve"> combined or overall fuel consumption or economy</w:t>
      </w:r>
      <w:r w:rsidR="001450D4">
        <w:rPr>
          <w:rFonts w:asciiTheme="majorBidi" w:hAnsiTheme="majorBidi" w:cstheme="majorBidi"/>
          <w:sz w:val="24"/>
          <w:szCs w:val="24"/>
        </w:rPr>
        <w:t xml:space="preserve"> cycle is used,</w:t>
      </w:r>
      <w:r w:rsidR="00AF6A1D">
        <w:rPr>
          <w:rFonts w:asciiTheme="majorBidi" w:hAnsiTheme="majorBidi" w:cstheme="majorBidi"/>
          <w:sz w:val="24"/>
          <w:szCs w:val="24"/>
        </w:rPr>
        <w:t xml:space="preserve"> </w:t>
      </w:r>
      <w:r w:rsidR="00804EA4">
        <w:rPr>
          <w:rFonts w:asciiTheme="majorBidi" w:hAnsiTheme="majorBidi" w:cstheme="majorBidi"/>
          <w:sz w:val="24"/>
          <w:szCs w:val="24"/>
        </w:rPr>
        <w:t xml:space="preserve">combining urban and highway cycles with different </w:t>
      </w:r>
      <w:r w:rsidR="001450D4">
        <w:rPr>
          <w:rFonts w:asciiTheme="majorBidi" w:hAnsiTheme="majorBidi" w:cstheme="majorBidi"/>
          <w:sz w:val="24"/>
          <w:szCs w:val="24"/>
        </w:rPr>
        <w:t xml:space="preserve">weightage </w:t>
      </w:r>
      <w:r w:rsidR="00804EA4">
        <w:rPr>
          <w:rFonts w:asciiTheme="majorBidi" w:hAnsiTheme="majorBidi" w:cstheme="majorBidi"/>
          <w:sz w:val="24"/>
          <w:szCs w:val="24"/>
        </w:rPr>
        <w:t xml:space="preserve">according to the cycle’s </w:t>
      </w:r>
      <w:r w:rsidR="0060561E">
        <w:rPr>
          <w:rFonts w:asciiTheme="majorBidi" w:hAnsiTheme="majorBidi" w:cstheme="majorBidi"/>
          <w:sz w:val="24"/>
          <w:szCs w:val="24"/>
        </w:rPr>
        <w:t>location origin.</w:t>
      </w:r>
      <w:r w:rsidR="00FF5C23">
        <w:rPr>
          <w:rFonts w:asciiTheme="majorBidi" w:hAnsiTheme="majorBidi" w:cstheme="majorBidi"/>
          <w:sz w:val="24"/>
          <w:szCs w:val="24"/>
        </w:rPr>
        <w:t xml:space="preserve"> In the United States the used driving cycle is called Corporate Average Fuel Economy</w:t>
      </w:r>
      <w:r w:rsidR="00AF6A1D">
        <w:rPr>
          <w:rFonts w:asciiTheme="majorBidi" w:hAnsiTheme="majorBidi" w:cstheme="majorBidi"/>
          <w:sz w:val="24"/>
          <w:szCs w:val="24"/>
        </w:rPr>
        <w:t xml:space="preserve"> (CAFÉ)</w:t>
      </w:r>
      <w:r w:rsidR="00FF5C23">
        <w:rPr>
          <w:rFonts w:asciiTheme="majorBidi" w:hAnsiTheme="majorBidi" w:cstheme="majorBidi"/>
          <w:sz w:val="24"/>
          <w:szCs w:val="24"/>
        </w:rPr>
        <w:t>. In Europe</w:t>
      </w:r>
      <w:r w:rsidR="00D0733A">
        <w:rPr>
          <w:rFonts w:asciiTheme="majorBidi" w:hAnsiTheme="majorBidi" w:cstheme="majorBidi"/>
          <w:sz w:val="24"/>
          <w:szCs w:val="24"/>
        </w:rPr>
        <w:t>,</w:t>
      </w:r>
      <w:r w:rsidR="00FF5C23">
        <w:rPr>
          <w:rFonts w:asciiTheme="majorBidi" w:hAnsiTheme="majorBidi" w:cstheme="majorBidi"/>
          <w:sz w:val="24"/>
          <w:szCs w:val="24"/>
        </w:rPr>
        <w:t xml:space="preserve"> the used driving cycle is called New European Driving Cycle</w:t>
      </w:r>
      <w:r w:rsidR="00AF6A1D">
        <w:rPr>
          <w:rFonts w:asciiTheme="majorBidi" w:hAnsiTheme="majorBidi" w:cstheme="majorBidi"/>
          <w:sz w:val="24"/>
          <w:szCs w:val="24"/>
        </w:rPr>
        <w:t xml:space="preserve"> (NEDC).</w:t>
      </w:r>
      <w:r w:rsidR="00AF6A1D">
        <w:rPr>
          <w:rFonts w:asciiTheme="majorBidi" w:hAnsiTheme="majorBidi" w:cstheme="majorBidi" w:hint="cs"/>
          <w:sz w:val="24"/>
          <w:szCs w:val="24"/>
          <w:rtl/>
        </w:rPr>
        <w:t xml:space="preserve"> </w:t>
      </w:r>
    </w:p>
    <w:p w14:paraId="68148438" w14:textId="77777777" w:rsidR="00C32389" w:rsidRPr="0056719C" w:rsidRDefault="00FF5C23" w:rsidP="00713875">
      <w:pPr>
        <w:rPr>
          <w:rFonts w:asciiTheme="majorBidi" w:hAnsiTheme="majorBidi" w:cstheme="majorBidi"/>
          <w:sz w:val="24"/>
          <w:szCs w:val="24"/>
        </w:rPr>
      </w:pPr>
      <w:r>
        <w:rPr>
          <w:rFonts w:asciiTheme="majorBidi" w:hAnsiTheme="majorBidi" w:cstheme="majorBidi"/>
          <w:sz w:val="24"/>
          <w:szCs w:val="24"/>
        </w:rPr>
        <w:t>For the driving cycles to be</w:t>
      </w:r>
      <w:r w:rsidR="002E72A4">
        <w:rPr>
          <w:rFonts w:asciiTheme="majorBidi" w:hAnsiTheme="majorBidi" w:cstheme="majorBidi"/>
          <w:sz w:val="24"/>
          <w:szCs w:val="24"/>
        </w:rPr>
        <w:t xml:space="preserve"> fully representative</w:t>
      </w:r>
      <w:r w:rsidR="00AD75DE">
        <w:rPr>
          <w:rFonts w:asciiTheme="majorBidi" w:hAnsiTheme="majorBidi" w:cstheme="majorBidi"/>
          <w:sz w:val="24"/>
          <w:szCs w:val="24"/>
        </w:rPr>
        <w:t>, they need</w:t>
      </w:r>
      <w:r w:rsidR="00015E9B">
        <w:rPr>
          <w:rFonts w:asciiTheme="majorBidi" w:hAnsiTheme="majorBidi" w:cstheme="majorBidi"/>
          <w:sz w:val="24"/>
          <w:szCs w:val="24"/>
        </w:rPr>
        <w:t xml:space="preserve"> extensive detailed data about characteristics of driving in locations where they are applied. Also, the vehicles used </w:t>
      </w:r>
      <w:r w:rsidR="00AD75DE">
        <w:rPr>
          <w:rFonts w:asciiTheme="majorBidi" w:hAnsiTheme="majorBidi" w:cstheme="majorBidi"/>
          <w:sz w:val="24"/>
          <w:szCs w:val="24"/>
        </w:rPr>
        <w:t>for designing the cycle must match the running models. Other factors, such as r</w:t>
      </w:r>
      <w:r w:rsidR="00C32389">
        <w:rPr>
          <w:rFonts w:asciiTheme="majorBidi" w:hAnsiTheme="majorBidi" w:cstheme="majorBidi"/>
          <w:sz w:val="24"/>
          <w:szCs w:val="24"/>
        </w:rPr>
        <w:t xml:space="preserve">oads elevation, </w:t>
      </w:r>
      <w:r w:rsidR="00D0733A">
        <w:rPr>
          <w:rFonts w:asciiTheme="majorBidi" w:hAnsiTheme="majorBidi" w:cstheme="majorBidi"/>
          <w:sz w:val="24"/>
          <w:szCs w:val="24"/>
        </w:rPr>
        <w:t>air and</w:t>
      </w:r>
      <w:r w:rsidR="00AD75DE">
        <w:rPr>
          <w:rFonts w:asciiTheme="majorBidi" w:hAnsiTheme="majorBidi" w:cstheme="majorBidi"/>
          <w:sz w:val="24"/>
          <w:szCs w:val="24"/>
        </w:rPr>
        <w:t xml:space="preserve"> wind</w:t>
      </w:r>
      <w:r w:rsidR="00015E9B">
        <w:rPr>
          <w:rFonts w:asciiTheme="majorBidi" w:hAnsiTheme="majorBidi" w:cstheme="majorBidi"/>
          <w:sz w:val="24"/>
          <w:szCs w:val="24"/>
        </w:rPr>
        <w:t xml:space="preserve"> </w:t>
      </w:r>
      <w:r w:rsidR="00305048">
        <w:rPr>
          <w:rFonts w:asciiTheme="majorBidi" w:hAnsiTheme="majorBidi" w:cstheme="majorBidi"/>
          <w:sz w:val="24"/>
          <w:szCs w:val="24"/>
        </w:rPr>
        <w:t>need to be accounted for. Some claim that manufacturers design vehicles to match the driving cycle at the destination</w:t>
      </w:r>
      <w:r w:rsidR="00F242EF">
        <w:rPr>
          <w:rFonts w:asciiTheme="majorBidi" w:hAnsiTheme="majorBidi" w:cstheme="majorBidi"/>
          <w:sz w:val="24"/>
          <w:szCs w:val="24"/>
        </w:rPr>
        <w:t xml:space="preserve"> market’s cycle, if there is one</w:t>
      </w:r>
      <w:r w:rsidR="00305048">
        <w:rPr>
          <w:rFonts w:asciiTheme="majorBidi" w:hAnsiTheme="majorBidi" w:cstheme="majorBidi"/>
          <w:sz w:val="24"/>
          <w:szCs w:val="24"/>
        </w:rPr>
        <w:t>.</w:t>
      </w:r>
    </w:p>
    <w:p w14:paraId="76214D4E" w14:textId="77777777" w:rsidR="000C6DC0" w:rsidRPr="00EB6674" w:rsidRDefault="009D59BD" w:rsidP="009D59BD">
      <w:pPr>
        <w:pStyle w:val="Heading1"/>
      </w:pPr>
      <w:bookmarkStart w:id="10" w:name="_Toc400533331"/>
      <w:r>
        <w:t>Tunisia in North-African C</w:t>
      </w:r>
      <w:r w:rsidR="000C6DC0" w:rsidRPr="00EB6674">
        <w:t>ontext</w:t>
      </w:r>
      <w:bookmarkEnd w:id="10"/>
    </w:p>
    <w:p w14:paraId="769F97ED" w14:textId="77777777" w:rsidR="0005481A" w:rsidRPr="00EB6674" w:rsidRDefault="00977983" w:rsidP="002C7CE3">
      <w:pPr>
        <w:rPr>
          <w:rFonts w:asciiTheme="majorBidi" w:hAnsiTheme="majorBidi" w:cstheme="majorBidi"/>
          <w:sz w:val="24"/>
          <w:szCs w:val="24"/>
        </w:rPr>
      </w:pPr>
      <w:r w:rsidRPr="00EB6674">
        <w:rPr>
          <w:rFonts w:asciiTheme="majorBidi" w:hAnsiTheme="majorBidi" w:cstheme="majorBidi"/>
          <w:sz w:val="24"/>
          <w:szCs w:val="24"/>
        </w:rPr>
        <w:t xml:space="preserve"> </w:t>
      </w:r>
      <w:r w:rsidR="003118B5" w:rsidRPr="00EB6674">
        <w:rPr>
          <w:rFonts w:asciiTheme="majorBidi" w:hAnsiTheme="majorBidi" w:cstheme="majorBidi"/>
          <w:sz w:val="24"/>
          <w:szCs w:val="24"/>
        </w:rPr>
        <w:t>Tunisia</w:t>
      </w:r>
      <w:r w:rsidR="00F12F18" w:rsidRPr="00EB6674">
        <w:rPr>
          <w:rFonts w:asciiTheme="majorBidi" w:hAnsiTheme="majorBidi" w:cstheme="majorBidi"/>
          <w:sz w:val="24"/>
          <w:szCs w:val="24"/>
        </w:rPr>
        <w:t xml:space="preserve"> is a North-African/ Arab country that</w:t>
      </w:r>
      <w:r w:rsidR="003118B5" w:rsidRPr="00EB6674">
        <w:rPr>
          <w:rFonts w:asciiTheme="majorBidi" w:hAnsiTheme="majorBidi" w:cstheme="majorBidi"/>
          <w:sz w:val="24"/>
          <w:szCs w:val="24"/>
        </w:rPr>
        <w:t xml:space="preserve"> has a</w:t>
      </w:r>
      <w:r w:rsidR="00810D6F">
        <w:rPr>
          <w:rFonts w:asciiTheme="majorBidi" w:hAnsiTheme="majorBidi" w:cstheme="majorBidi"/>
          <w:sz w:val="24"/>
          <w:szCs w:val="24"/>
        </w:rPr>
        <w:t xml:space="preserve"> </w:t>
      </w:r>
      <w:r w:rsidRPr="00EB6674">
        <w:rPr>
          <w:rFonts w:asciiTheme="majorBidi" w:hAnsiTheme="majorBidi" w:cstheme="majorBidi"/>
          <w:sz w:val="24"/>
          <w:szCs w:val="24"/>
        </w:rPr>
        <w:t>GDP of $ 1,083 billion</w:t>
      </w:r>
      <w:r w:rsidR="00F12F18" w:rsidRPr="00EB6674">
        <w:rPr>
          <w:rFonts w:asciiTheme="majorBidi" w:hAnsiTheme="majorBidi" w:cstheme="majorBidi"/>
          <w:sz w:val="24"/>
          <w:szCs w:val="24"/>
        </w:rPr>
        <w:t xml:space="preserve"> at purchasing power  parity, with</w:t>
      </w:r>
      <w:r w:rsidRPr="00EB6674">
        <w:rPr>
          <w:rFonts w:asciiTheme="majorBidi" w:hAnsiTheme="majorBidi" w:cstheme="majorBidi"/>
          <w:sz w:val="24"/>
          <w:szCs w:val="24"/>
        </w:rPr>
        <w:t xml:space="preserve"> an annual real economic growth rate of 2.3% in 2013</w:t>
      </w:r>
      <w:r w:rsidR="003E3794" w:rsidRPr="00EB6674">
        <w:rPr>
          <w:rFonts w:asciiTheme="majorBidi" w:hAnsiTheme="majorBidi" w:cstheme="majorBidi"/>
          <w:sz w:val="24"/>
          <w:szCs w:val="24"/>
        </w:rPr>
        <w:t xml:space="preserve"> down from 3.6</w:t>
      </w:r>
      <w:r w:rsidR="00F12F18" w:rsidRPr="00EB6674">
        <w:rPr>
          <w:rFonts w:asciiTheme="majorBidi" w:hAnsiTheme="majorBidi" w:cstheme="majorBidi"/>
          <w:sz w:val="24"/>
          <w:szCs w:val="24"/>
        </w:rPr>
        <w:t>%</w:t>
      </w:r>
      <w:r w:rsidR="003E3794" w:rsidRPr="00EB6674">
        <w:rPr>
          <w:rFonts w:asciiTheme="majorBidi" w:hAnsiTheme="majorBidi" w:cstheme="majorBidi"/>
          <w:sz w:val="24"/>
          <w:szCs w:val="24"/>
        </w:rPr>
        <w:t xml:space="preserve"> in 2012</w:t>
      </w:r>
      <w:r w:rsidR="004D7D32">
        <w:rPr>
          <w:rFonts w:asciiTheme="majorBidi" w:hAnsiTheme="majorBidi" w:cstheme="majorBidi"/>
          <w:sz w:val="24"/>
          <w:szCs w:val="24"/>
        </w:rPr>
        <w:t xml:space="preserve"> (CIA, 2014)</w:t>
      </w:r>
      <w:r w:rsidR="003E3794" w:rsidRPr="00EB6674">
        <w:rPr>
          <w:rFonts w:asciiTheme="majorBidi" w:hAnsiTheme="majorBidi" w:cstheme="majorBidi"/>
          <w:sz w:val="24"/>
          <w:szCs w:val="24"/>
        </w:rPr>
        <w:t xml:space="preserve">. </w:t>
      </w:r>
      <w:r w:rsidR="009333C2" w:rsidRPr="00EB6674">
        <w:rPr>
          <w:rFonts w:asciiTheme="majorBidi" w:hAnsiTheme="majorBidi" w:cstheme="majorBidi"/>
          <w:sz w:val="24"/>
          <w:szCs w:val="24"/>
        </w:rPr>
        <w:t xml:space="preserve"> Tunis</w:t>
      </w:r>
      <w:r w:rsidR="003118B5" w:rsidRPr="00EB6674">
        <w:rPr>
          <w:rFonts w:asciiTheme="majorBidi" w:hAnsiTheme="majorBidi" w:cstheme="majorBidi"/>
          <w:sz w:val="24"/>
          <w:szCs w:val="24"/>
        </w:rPr>
        <w:t xml:space="preserve">ia boasts a good level of GDP per capita at purchasing power parity, compared to other Middle-Eastern countries barring the oil importing ones. It </w:t>
      </w:r>
      <w:r w:rsidR="0005481A" w:rsidRPr="00EB6674">
        <w:rPr>
          <w:rFonts w:asciiTheme="majorBidi" w:hAnsiTheme="majorBidi" w:cstheme="majorBidi"/>
          <w:sz w:val="24"/>
          <w:szCs w:val="24"/>
        </w:rPr>
        <w:t>figured to 9,500, 9,800 and 9,900 for 2011, 2012 and 2013, respectively</w:t>
      </w:r>
      <w:r w:rsidR="004D7D32">
        <w:rPr>
          <w:rFonts w:asciiTheme="majorBidi" w:hAnsiTheme="majorBidi" w:cstheme="majorBidi"/>
          <w:sz w:val="24"/>
          <w:szCs w:val="24"/>
        </w:rPr>
        <w:t xml:space="preserve"> (CIA, 2014)</w:t>
      </w:r>
      <w:r w:rsidR="0005481A" w:rsidRPr="00EB6674">
        <w:rPr>
          <w:rFonts w:asciiTheme="majorBidi" w:hAnsiTheme="majorBidi" w:cstheme="majorBidi"/>
          <w:sz w:val="24"/>
          <w:szCs w:val="24"/>
        </w:rPr>
        <w:t>.</w:t>
      </w:r>
      <w:r w:rsidR="003E3794" w:rsidRPr="00EB6674">
        <w:rPr>
          <w:rFonts w:asciiTheme="majorBidi" w:hAnsiTheme="majorBidi" w:cstheme="majorBidi"/>
          <w:sz w:val="24"/>
          <w:szCs w:val="24"/>
        </w:rPr>
        <w:t xml:space="preserve"> </w:t>
      </w:r>
    </w:p>
    <w:p w14:paraId="63946332" w14:textId="77777777" w:rsidR="002C7CE3" w:rsidRPr="00EB6674" w:rsidRDefault="003E3794" w:rsidP="002C7CE3">
      <w:pPr>
        <w:rPr>
          <w:rFonts w:asciiTheme="majorBidi" w:hAnsiTheme="majorBidi" w:cstheme="majorBidi"/>
          <w:sz w:val="24"/>
          <w:szCs w:val="24"/>
        </w:rPr>
      </w:pPr>
      <w:r w:rsidRPr="00EB6674">
        <w:rPr>
          <w:rFonts w:asciiTheme="majorBidi" w:hAnsiTheme="majorBidi" w:cstheme="majorBidi"/>
          <w:sz w:val="24"/>
          <w:szCs w:val="24"/>
        </w:rPr>
        <w:t>Tunisia</w:t>
      </w:r>
      <w:r w:rsidR="003118B5" w:rsidRPr="00EB6674">
        <w:rPr>
          <w:rFonts w:asciiTheme="majorBidi" w:hAnsiTheme="majorBidi" w:cstheme="majorBidi"/>
          <w:sz w:val="24"/>
          <w:szCs w:val="24"/>
        </w:rPr>
        <w:t>’s</w:t>
      </w:r>
      <w:r w:rsidRPr="00EB6674">
        <w:rPr>
          <w:rFonts w:asciiTheme="majorBidi" w:hAnsiTheme="majorBidi" w:cstheme="majorBidi"/>
          <w:sz w:val="24"/>
          <w:szCs w:val="24"/>
        </w:rPr>
        <w:t xml:space="preserve"> </w:t>
      </w:r>
      <w:r w:rsidR="00977983" w:rsidRPr="00EB6674">
        <w:rPr>
          <w:rFonts w:asciiTheme="majorBidi" w:hAnsiTheme="majorBidi" w:cstheme="majorBidi"/>
          <w:sz w:val="24"/>
          <w:szCs w:val="24"/>
        </w:rPr>
        <w:t>GINI index</w:t>
      </w:r>
      <w:r w:rsidRPr="00EB6674">
        <w:rPr>
          <w:rFonts w:asciiTheme="majorBidi" w:hAnsiTheme="majorBidi" w:cstheme="majorBidi"/>
          <w:sz w:val="24"/>
          <w:szCs w:val="24"/>
        </w:rPr>
        <w:t>- a measure of income distribution within a country-</w:t>
      </w:r>
      <w:r w:rsidR="002C7CE3" w:rsidRPr="00EB6674">
        <w:rPr>
          <w:rFonts w:asciiTheme="majorBidi" w:hAnsiTheme="majorBidi" w:cstheme="majorBidi"/>
          <w:sz w:val="24"/>
          <w:szCs w:val="24"/>
        </w:rPr>
        <w:t>is</w:t>
      </w:r>
      <w:r w:rsidRPr="00EB6674">
        <w:rPr>
          <w:rFonts w:asciiTheme="majorBidi" w:hAnsiTheme="majorBidi" w:cstheme="majorBidi"/>
          <w:sz w:val="24"/>
          <w:szCs w:val="24"/>
        </w:rPr>
        <w:t xml:space="preserve"> of around 36</w:t>
      </w:r>
      <w:r w:rsidR="000750B8" w:rsidRPr="00EB6674">
        <w:rPr>
          <w:rFonts w:asciiTheme="majorBidi" w:hAnsiTheme="majorBidi" w:cstheme="majorBidi"/>
          <w:sz w:val="24"/>
          <w:szCs w:val="24"/>
        </w:rPr>
        <w:t xml:space="preserve"> in 2010,</w:t>
      </w:r>
      <w:r w:rsidR="0005481A" w:rsidRPr="00EB6674">
        <w:rPr>
          <w:rFonts w:asciiTheme="majorBidi" w:hAnsiTheme="majorBidi" w:cstheme="majorBidi"/>
          <w:sz w:val="24"/>
          <w:szCs w:val="24"/>
        </w:rPr>
        <w:t xml:space="preserve"> 40 in 2005,</w:t>
      </w:r>
      <w:r w:rsidR="002C7CE3" w:rsidRPr="00EB6674">
        <w:rPr>
          <w:rFonts w:asciiTheme="majorBidi" w:hAnsiTheme="majorBidi" w:cstheme="majorBidi"/>
          <w:sz w:val="24"/>
          <w:szCs w:val="24"/>
        </w:rPr>
        <w:t xml:space="preserve"> 40.8 in 2000, and 41.66 in 1985</w:t>
      </w:r>
      <w:r w:rsidR="00A54B4F">
        <w:rPr>
          <w:rFonts w:asciiTheme="majorBidi" w:hAnsiTheme="majorBidi" w:cstheme="majorBidi"/>
          <w:sz w:val="24"/>
          <w:szCs w:val="24"/>
        </w:rPr>
        <w:t xml:space="preserve"> (Quandl, 2014)</w:t>
      </w:r>
      <w:r w:rsidR="00126194" w:rsidRPr="00EB6674">
        <w:rPr>
          <w:rFonts w:asciiTheme="majorBidi" w:hAnsiTheme="majorBidi" w:cstheme="majorBidi"/>
          <w:sz w:val="24"/>
          <w:szCs w:val="24"/>
        </w:rPr>
        <w:t>. Moroc</w:t>
      </w:r>
      <w:r w:rsidR="000750B8" w:rsidRPr="00EB6674">
        <w:rPr>
          <w:rFonts w:asciiTheme="majorBidi" w:hAnsiTheme="majorBidi" w:cstheme="majorBidi"/>
          <w:sz w:val="24"/>
          <w:szCs w:val="24"/>
        </w:rPr>
        <w:t>co</w:t>
      </w:r>
      <w:r w:rsidR="007B2127" w:rsidRPr="00EB6674">
        <w:rPr>
          <w:rFonts w:asciiTheme="majorBidi" w:hAnsiTheme="majorBidi" w:cstheme="majorBidi"/>
          <w:sz w:val="24"/>
          <w:szCs w:val="24"/>
        </w:rPr>
        <w:t xml:space="preserve">, on the other hand, </w:t>
      </w:r>
      <w:r w:rsidR="00EA0E02" w:rsidRPr="00EB6674">
        <w:rPr>
          <w:rFonts w:asciiTheme="majorBidi" w:hAnsiTheme="majorBidi" w:cstheme="majorBidi"/>
          <w:sz w:val="24"/>
          <w:szCs w:val="24"/>
        </w:rPr>
        <w:t>entertains a GINI</w:t>
      </w:r>
      <w:r w:rsidR="006F3287" w:rsidRPr="00EB6674">
        <w:rPr>
          <w:rFonts w:asciiTheme="majorBidi" w:hAnsiTheme="majorBidi" w:cstheme="majorBidi"/>
          <w:sz w:val="24"/>
          <w:szCs w:val="24"/>
        </w:rPr>
        <w:t xml:space="preserve"> index of more or less the same order of magnitude as Tunisia does</w:t>
      </w:r>
      <w:r w:rsidR="00EC7D25" w:rsidRPr="00EB6674">
        <w:rPr>
          <w:rFonts w:asciiTheme="majorBidi" w:hAnsiTheme="majorBidi" w:cstheme="majorBidi"/>
          <w:sz w:val="24"/>
          <w:szCs w:val="24"/>
        </w:rPr>
        <w:t>, rounding up to 40 over the entire last decade</w:t>
      </w:r>
      <w:r w:rsidR="002C7CE3" w:rsidRPr="00EB6674">
        <w:rPr>
          <w:rFonts w:asciiTheme="majorBidi" w:hAnsiTheme="majorBidi" w:cstheme="majorBidi"/>
          <w:sz w:val="24"/>
          <w:szCs w:val="24"/>
        </w:rPr>
        <w:t xml:space="preserve">, and a GDP per capita at purchasing power parity </w:t>
      </w:r>
      <w:r w:rsidR="000750B8" w:rsidRPr="00EB6674">
        <w:rPr>
          <w:rFonts w:asciiTheme="majorBidi" w:hAnsiTheme="majorBidi" w:cstheme="majorBidi"/>
          <w:sz w:val="24"/>
          <w:szCs w:val="24"/>
        </w:rPr>
        <w:t xml:space="preserve">of </w:t>
      </w:r>
      <w:r w:rsidR="002C7CE3" w:rsidRPr="00EB6674">
        <w:rPr>
          <w:rFonts w:asciiTheme="majorBidi" w:hAnsiTheme="majorBidi" w:cstheme="majorBidi"/>
          <w:sz w:val="24"/>
          <w:szCs w:val="24"/>
        </w:rPr>
        <w:t xml:space="preserve"> $ 5, 500</w:t>
      </w:r>
      <w:r w:rsidR="000750B8" w:rsidRPr="00EB6674">
        <w:rPr>
          <w:rFonts w:asciiTheme="majorBidi" w:hAnsiTheme="majorBidi" w:cstheme="majorBidi"/>
          <w:sz w:val="24"/>
          <w:szCs w:val="24"/>
        </w:rPr>
        <w:t>, $ 5300, $52200 in  2013, 2012 and 2011, respectively</w:t>
      </w:r>
      <w:r w:rsidR="00556C89">
        <w:rPr>
          <w:rFonts w:asciiTheme="majorBidi" w:hAnsiTheme="majorBidi" w:cstheme="majorBidi"/>
          <w:sz w:val="24"/>
          <w:szCs w:val="24"/>
        </w:rPr>
        <w:t xml:space="preserve"> (CIA, 2014</w:t>
      </w:r>
      <w:r w:rsidR="00A54B4F">
        <w:rPr>
          <w:rFonts w:asciiTheme="majorBidi" w:hAnsiTheme="majorBidi" w:cstheme="majorBidi"/>
          <w:sz w:val="24"/>
          <w:szCs w:val="24"/>
        </w:rPr>
        <w:t>; Quandl, 2014</w:t>
      </w:r>
      <w:r w:rsidR="00556C89">
        <w:rPr>
          <w:rFonts w:asciiTheme="majorBidi" w:hAnsiTheme="majorBidi" w:cstheme="majorBidi"/>
          <w:sz w:val="24"/>
          <w:szCs w:val="24"/>
        </w:rPr>
        <w:t>)</w:t>
      </w:r>
      <w:r w:rsidR="000750B8" w:rsidRPr="00EB6674">
        <w:rPr>
          <w:rFonts w:asciiTheme="majorBidi" w:hAnsiTheme="majorBidi" w:cstheme="majorBidi"/>
          <w:sz w:val="24"/>
          <w:szCs w:val="24"/>
        </w:rPr>
        <w:t>.</w:t>
      </w:r>
    </w:p>
    <w:p w14:paraId="36AD0BAF" w14:textId="77777777" w:rsidR="00F615EB" w:rsidRDefault="00F615EB" w:rsidP="002C7CE3">
      <w:pPr>
        <w:rPr>
          <w:rFonts w:asciiTheme="majorBidi" w:hAnsiTheme="majorBidi" w:cstheme="majorBidi"/>
          <w:sz w:val="24"/>
          <w:szCs w:val="24"/>
        </w:rPr>
      </w:pPr>
    </w:p>
    <w:p w14:paraId="27A617A9" w14:textId="77777777" w:rsidR="00F615EB" w:rsidRDefault="00F615EB" w:rsidP="002C7CE3">
      <w:pPr>
        <w:rPr>
          <w:rFonts w:asciiTheme="majorBidi" w:hAnsiTheme="majorBidi" w:cstheme="majorBidi"/>
          <w:sz w:val="24"/>
          <w:szCs w:val="24"/>
        </w:rPr>
      </w:pPr>
    </w:p>
    <w:p w14:paraId="4EAE57FE" w14:textId="3540561C" w:rsidR="0005481A" w:rsidRPr="00EB6674" w:rsidRDefault="00D870E8" w:rsidP="002C7CE3">
      <w:pPr>
        <w:rPr>
          <w:rFonts w:asciiTheme="majorBidi" w:hAnsiTheme="majorBidi" w:cstheme="majorBidi"/>
          <w:sz w:val="24"/>
          <w:szCs w:val="24"/>
        </w:rPr>
      </w:pPr>
      <w:r w:rsidRPr="00EB6674">
        <w:rPr>
          <w:rFonts w:asciiTheme="majorBidi" w:hAnsiTheme="majorBidi" w:cstheme="majorBidi"/>
          <w:sz w:val="24"/>
          <w:szCs w:val="24"/>
        </w:rPr>
        <w:lastRenderedPageBreak/>
        <w:t>T</w:t>
      </w:r>
      <w:r w:rsidR="00F12F18" w:rsidRPr="00EB6674">
        <w:rPr>
          <w:rFonts w:asciiTheme="majorBidi" w:hAnsiTheme="majorBidi" w:cstheme="majorBidi"/>
          <w:sz w:val="24"/>
          <w:szCs w:val="24"/>
        </w:rPr>
        <w:t>he aforem</w:t>
      </w:r>
      <w:r w:rsidR="00B4526B" w:rsidRPr="00EB6674">
        <w:rPr>
          <w:rFonts w:asciiTheme="majorBidi" w:hAnsiTheme="majorBidi" w:cstheme="majorBidi"/>
          <w:sz w:val="24"/>
          <w:szCs w:val="24"/>
        </w:rPr>
        <w:t>entioned figure</w:t>
      </w:r>
      <w:r w:rsidR="00F12F18" w:rsidRPr="00EB6674">
        <w:rPr>
          <w:rFonts w:asciiTheme="majorBidi" w:hAnsiTheme="majorBidi" w:cstheme="majorBidi"/>
          <w:sz w:val="24"/>
          <w:szCs w:val="24"/>
        </w:rPr>
        <w:t xml:space="preserve"> should indicate</w:t>
      </w:r>
      <w:r w:rsidR="00393503" w:rsidRPr="00EB6674">
        <w:rPr>
          <w:rFonts w:asciiTheme="majorBidi" w:hAnsiTheme="majorBidi" w:cstheme="majorBidi"/>
          <w:sz w:val="24"/>
          <w:szCs w:val="24"/>
        </w:rPr>
        <w:t>, on being t</w:t>
      </w:r>
      <w:r w:rsidR="00F12F18" w:rsidRPr="00EB6674">
        <w:rPr>
          <w:rFonts w:asciiTheme="majorBidi" w:hAnsiTheme="majorBidi" w:cstheme="majorBidi"/>
          <w:sz w:val="24"/>
          <w:szCs w:val="24"/>
        </w:rPr>
        <w:t>a</w:t>
      </w:r>
      <w:r w:rsidR="00393503" w:rsidRPr="00EB6674">
        <w:rPr>
          <w:rFonts w:asciiTheme="majorBidi" w:hAnsiTheme="majorBidi" w:cstheme="majorBidi"/>
          <w:sz w:val="24"/>
          <w:szCs w:val="24"/>
        </w:rPr>
        <w:t>ken at face value,</w:t>
      </w:r>
      <w:r w:rsidR="00F12F18" w:rsidRPr="00EB6674">
        <w:rPr>
          <w:rFonts w:asciiTheme="majorBidi" w:hAnsiTheme="majorBidi" w:cstheme="majorBidi"/>
          <w:sz w:val="24"/>
          <w:szCs w:val="24"/>
        </w:rPr>
        <w:t xml:space="preserve"> higher motorization rate in Tunisia than </w:t>
      </w:r>
      <w:r w:rsidR="008D6062" w:rsidRPr="00EB6674">
        <w:rPr>
          <w:rFonts w:asciiTheme="majorBidi" w:hAnsiTheme="majorBidi" w:cstheme="majorBidi"/>
          <w:sz w:val="24"/>
          <w:szCs w:val="24"/>
        </w:rPr>
        <w:t>Morocco that was actually</w:t>
      </w:r>
      <w:r w:rsidRPr="00EB6674">
        <w:rPr>
          <w:rFonts w:asciiTheme="majorBidi" w:hAnsiTheme="majorBidi" w:cstheme="majorBidi"/>
          <w:sz w:val="24"/>
          <w:szCs w:val="24"/>
        </w:rPr>
        <w:t xml:space="preserve"> the case, for Tunisia had a rate of </w:t>
      </w:r>
      <w:r w:rsidR="00F12F18" w:rsidRPr="00EB6674">
        <w:rPr>
          <w:rFonts w:asciiTheme="majorBidi" w:hAnsiTheme="majorBidi" w:cstheme="majorBidi"/>
          <w:sz w:val="24"/>
          <w:szCs w:val="24"/>
        </w:rPr>
        <w:t>121 and 124</w:t>
      </w:r>
      <w:r w:rsidR="00B4526B" w:rsidRPr="00EB6674">
        <w:rPr>
          <w:rFonts w:asciiTheme="majorBidi" w:hAnsiTheme="majorBidi" w:cstheme="majorBidi"/>
          <w:sz w:val="24"/>
          <w:szCs w:val="24"/>
        </w:rPr>
        <w:t xml:space="preserve"> per one thousand inhabitants</w:t>
      </w:r>
      <w:r w:rsidR="00F12F18" w:rsidRPr="00EB6674">
        <w:rPr>
          <w:rFonts w:asciiTheme="majorBidi" w:hAnsiTheme="majorBidi" w:cstheme="majorBidi"/>
          <w:sz w:val="24"/>
          <w:szCs w:val="24"/>
        </w:rPr>
        <w:t xml:space="preserve"> for 2011 and 2012, respectively</w:t>
      </w:r>
      <w:r w:rsidR="002F541A">
        <w:rPr>
          <w:rFonts w:asciiTheme="majorBidi" w:hAnsiTheme="majorBidi" w:cstheme="majorBidi"/>
          <w:sz w:val="24"/>
          <w:szCs w:val="24"/>
        </w:rPr>
        <w:t xml:space="preserve"> (OICA, 2012)</w:t>
      </w:r>
      <w:r w:rsidR="00B4526B" w:rsidRPr="00EB6674">
        <w:rPr>
          <w:rFonts w:asciiTheme="majorBidi" w:hAnsiTheme="majorBidi" w:cstheme="majorBidi"/>
          <w:sz w:val="24"/>
          <w:szCs w:val="24"/>
        </w:rPr>
        <w:t>. On comparison, Morocco’s rate was 81 in 2011 and 84 in 2012</w:t>
      </w:r>
      <w:r w:rsidR="002F541A">
        <w:rPr>
          <w:rFonts w:asciiTheme="majorBidi" w:hAnsiTheme="majorBidi" w:cstheme="majorBidi"/>
          <w:sz w:val="24"/>
          <w:szCs w:val="24"/>
        </w:rPr>
        <w:t xml:space="preserve"> (OICA, 2012)</w:t>
      </w:r>
      <w:r w:rsidR="00B4526B" w:rsidRPr="00EB6674">
        <w:rPr>
          <w:rFonts w:asciiTheme="majorBidi" w:hAnsiTheme="majorBidi" w:cstheme="majorBidi"/>
          <w:sz w:val="24"/>
          <w:szCs w:val="24"/>
        </w:rPr>
        <w:t xml:space="preserve">. </w:t>
      </w:r>
    </w:p>
    <w:p w14:paraId="11729B85" w14:textId="77777777" w:rsidR="00556C89" w:rsidRDefault="00D870E8" w:rsidP="00A54B4F">
      <w:pPr>
        <w:rPr>
          <w:rFonts w:asciiTheme="majorBidi" w:hAnsiTheme="majorBidi" w:cstheme="majorBidi"/>
          <w:sz w:val="24"/>
          <w:szCs w:val="24"/>
        </w:rPr>
      </w:pPr>
      <w:r w:rsidRPr="00EB6674">
        <w:rPr>
          <w:rFonts w:asciiTheme="majorBidi" w:hAnsiTheme="majorBidi" w:cstheme="majorBidi"/>
          <w:sz w:val="24"/>
          <w:szCs w:val="24"/>
        </w:rPr>
        <w:t>Egypt has a GINI coefficien</w:t>
      </w:r>
      <w:r w:rsidR="00393503" w:rsidRPr="00EB6674">
        <w:rPr>
          <w:rFonts w:asciiTheme="majorBidi" w:hAnsiTheme="majorBidi" w:cstheme="majorBidi"/>
          <w:sz w:val="24"/>
          <w:szCs w:val="24"/>
        </w:rPr>
        <w:t>t that</w:t>
      </w:r>
      <w:r w:rsidRPr="00EB6674">
        <w:rPr>
          <w:rFonts w:asciiTheme="majorBidi" w:hAnsiTheme="majorBidi" w:cstheme="majorBidi"/>
          <w:sz w:val="24"/>
          <w:szCs w:val="24"/>
        </w:rPr>
        <w:t xml:space="preserve">   has been c</w:t>
      </w:r>
      <w:r w:rsidR="00393503" w:rsidRPr="00EB6674">
        <w:rPr>
          <w:rFonts w:asciiTheme="majorBidi" w:hAnsiTheme="majorBidi" w:cstheme="majorBidi"/>
          <w:sz w:val="24"/>
          <w:szCs w:val="24"/>
        </w:rPr>
        <w:t xml:space="preserve">onfined to an interval between </w:t>
      </w:r>
      <w:r w:rsidRPr="00EB6674">
        <w:rPr>
          <w:rFonts w:asciiTheme="majorBidi" w:hAnsiTheme="majorBidi" w:cstheme="majorBidi"/>
          <w:sz w:val="24"/>
          <w:szCs w:val="24"/>
        </w:rPr>
        <w:t>30 and 32 over the period from 1995 to 2008</w:t>
      </w:r>
      <w:r w:rsidR="009238B4">
        <w:rPr>
          <w:rFonts w:asciiTheme="majorBidi" w:hAnsiTheme="majorBidi" w:cstheme="majorBidi"/>
          <w:sz w:val="24"/>
          <w:szCs w:val="24"/>
        </w:rPr>
        <w:t xml:space="preserve"> (</w:t>
      </w:r>
      <w:r w:rsidR="00A54B4F">
        <w:rPr>
          <w:rFonts w:asciiTheme="majorBidi" w:hAnsiTheme="majorBidi" w:cstheme="majorBidi"/>
          <w:sz w:val="24"/>
          <w:szCs w:val="24"/>
        </w:rPr>
        <w:t>Quandl, 2014)</w:t>
      </w:r>
      <w:r w:rsidRPr="00EB6674">
        <w:rPr>
          <w:rFonts w:asciiTheme="majorBidi" w:hAnsiTheme="majorBidi" w:cstheme="majorBidi"/>
          <w:sz w:val="24"/>
          <w:szCs w:val="24"/>
        </w:rPr>
        <w:t xml:space="preserve">. </w:t>
      </w:r>
      <w:r w:rsidR="00393503" w:rsidRPr="00EB6674">
        <w:rPr>
          <w:rFonts w:asciiTheme="majorBidi" w:hAnsiTheme="majorBidi" w:cstheme="majorBidi"/>
          <w:sz w:val="24"/>
          <w:szCs w:val="24"/>
        </w:rPr>
        <w:t xml:space="preserve"> That partly explains its lowest motorization rate among the said countries at 58 and 60 for the years 20</w:t>
      </w:r>
      <w:r w:rsidR="00DD7F73" w:rsidRPr="00EB6674">
        <w:rPr>
          <w:rFonts w:asciiTheme="majorBidi" w:hAnsiTheme="majorBidi" w:cstheme="majorBidi"/>
          <w:sz w:val="24"/>
          <w:szCs w:val="24"/>
        </w:rPr>
        <w:t>11 and 2012</w:t>
      </w:r>
      <w:r w:rsidR="00B459B3">
        <w:rPr>
          <w:rFonts w:asciiTheme="majorBidi" w:hAnsiTheme="majorBidi" w:cstheme="majorBidi"/>
          <w:sz w:val="24"/>
          <w:szCs w:val="24"/>
        </w:rPr>
        <w:t xml:space="preserve"> (OICA, 2012</w:t>
      </w:r>
      <w:r w:rsidR="00A54B4F">
        <w:rPr>
          <w:rFonts w:asciiTheme="majorBidi" w:hAnsiTheme="majorBidi" w:cstheme="majorBidi"/>
          <w:sz w:val="24"/>
          <w:szCs w:val="24"/>
        </w:rPr>
        <w:t>)</w:t>
      </w:r>
      <w:r w:rsidR="00DD7F73" w:rsidRPr="00EB6674">
        <w:rPr>
          <w:rFonts w:asciiTheme="majorBidi" w:hAnsiTheme="majorBidi" w:cstheme="majorBidi"/>
          <w:sz w:val="24"/>
          <w:szCs w:val="24"/>
        </w:rPr>
        <w:t xml:space="preserve">. That is despite </w:t>
      </w:r>
      <w:r w:rsidR="00393503" w:rsidRPr="00EB6674">
        <w:rPr>
          <w:rFonts w:asciiTheme="majorBidi" w:hAnsiTheme="majorBidi" w:cstheme="majorBidi"/>
          <w:sz w:val="24"/>
          <w:szCs w:val="24"/>
        </w:rPr>
        <w:t xml:space="preserve">the </w:t>
      </w:r>
      <w:r w:rsidR="00487AA6" w:rsidRPr="00EB6674">
        <w:rPr>
          <w:rFonts w:asciiTheme="majorBidi" w:hAnsiTheme="majorBidi" w:cstheme="majorBidi"/>
          <w:sz w:val="24"/>
          <w:szCs w:val="24"/>
        </w:rPr>
        <w:t xml:space="preserve">fact that it has </w:t>
      </w:r>
      <w:r w:rsidR="00393503" w:rsidRPr="00EB6674">
        <w:rPr>
          <w:rFonts w:asciiTheme="majorBidi" w:hAnsiTheme="majorBidi" w:cstheme="majorBidi"/>
          <w:sz w:val="24"/>
          <w:szCs w:val="24"/>
        </w:rPr>
        <w:t>GDP per capita</w:t>
      </w:r>
      <w:r w:rsidR="00487AA6" w:rsidRPr="00EB6674">
        <w:rPr>
          <w:rFonts w:asciiTheme="majorBidi" w:hAnsiTheme="majorBidi" w:cstheme="majorBidi"/>
          <w:sz w:val="24"/>
          <w:szCs w:val="24"/>
        </w:rPr>
        <w:t xml:space="preserve"> levels higher than Morocco, </w:t>
      </w:r>
      <w:r w:rsidR="00393503" w:rsidRPr="00EB6674">
        <w:rPr>
          <w:rFonts w:asciiTheme="majorBidi" w:hAnsiTheme="majorBidi" w:cstheme="majorBidi"/>
          <w:sz w:val="24"/>
          <w:szCs w:val="24"/>
        </w:rPr>
        <w:t>remain</w:t>
      </w:r>
      <w:r w:rsidR="00487AA6" w:rsidRPr="00EB6674">
        <w:rPr>
          <w:rFonts w:asciiTheme="majorBidi" w:hAnsiTheme="majorBidi" w:cstheme="majorBidi"/>
          <w:sz w:val="24"/>
          <w:szCs w:val="24"/>
        </w:rPr>
        <w:t>ing</w:t>
      </w:r>
      <w:r w:rsidR="00AB40CF" w:rsidRPr="00EB6674">
        <w:rPr>
          <w:rFonts w:asciiTheme="majorBidi" w:hAnsiTheme="majorBidi" w:cstheme="majorBidi"/>
          <w:sz w:val="24"/>
          <w:szCs w:val="24"/>
        </w:rPr>
        <w:t xml:space="preserve"> constant at </w:t>
      </w:r>
      <w:r w:rsidR="00DD7F73" w:rsidRPr="00EB6674">
        <w:rPr>
          <w:rFonts w:asciiTheme="majorBidi" w:hAnsiTheme="majorBidi" w:cstheme="majorBidi"/>
          <w:sz w:val="24"/>
          <w:szCs w:val="24"/>
        </w:rPr>
        <w:t>$</w:t>
      </w:r>
      <w:r w:rsidR="00AB40CF" w:rsidRPr="00EB6674">
        <w:rPr>
          <w:rFonts w:asciiTheme="majorBidi" w:hAnsiTheme="majorBidi" w:cstheme="majorBidi"/>
          <w:sz w:val="24"/>
          <w:szCs w:val="24"/>
        </w:rPr>
        <w:t>6,600 over the period from 2011 to 2013</w:t>
      </w:r>
      <w:r w:rsidR="00A54B4F">
        <w:rPr>
          <w:rFonts w:asciiTheme="majorBidi" w:hAnsiTheme="majorBidi" w:cstheme="majorBidi"/>
          <w:sz w:val="24"/>
          <w:szCs w:val="24"/>
        </w:rPr>
        <w:t xml:space="preserve"> (CIA, 2014)</w:t>
      </w:r>
      <w:r w:rsidR="00AB40CF" w:rsidRPr="00EB6674">
        <w:rPr>
          <w:rFonts w:asciiTheme="majorBidi" w:hAnsiTheme="majorBidi" w:cstheme="majorBidi"/>
          <w:sz w:val="24"/>
          <w:szCs w:val="24"/>
        </w:rPr>
        <w:t>.</w:t>
      </w:r>
    </w:p>
    <w:p w14:paraId="42E626F4" w14:textId="00B48F57" w:rsidR="00DD7F73" w:rsidRPr="00EB6674" w:rsidRDefault="00A54B4F" w:rsidP="002C7CE3">
      <w:pPr>
        <w:rPr>
          <w:rFonts w:asciiTheme="majorBidi" w:hAnsiTheme="majorBidi" w:cstheme="majorBidi"/>
          <w:sz w:val="24"/>
          <w:szCs w:val="24"/>
        </w:rPr>
      </w:pPr>
      <w:r>
        <w:rPr>
          <w:rFonts w:asciiTheme="majorBidi" w:hAnsiTheme="majorBidi" w:cstheme="majorBidi"/>
          <w:sz w:val="24"/>
          <w:szCs w:val="24"/>
        </w:rPr>
        <w:t xml:space="preserve">Figures 1 </w:t>
      </w:r>
      <w:r w:rsidR="00DD7F73" w:rsidRPr="00EB6674">
        <w:rPr>
          <w:rFonts w:asciiTheme="majorBidi" w:hAnsiTheme="majorBidi" w:cstheme="majorBidi"/>
          <w:sz w:val="24"/>
          <w:szCs w:val="24"/>
        </w:rPr>
        <w:t>shows the total number of cars on the road for Tunisia, Egypt and Morocco</w:t>
      </w:r>
      <w:r w:rsidR="00B0170C">
        <w:rPr>
          <w:rFonts w:asciiTheme="majorBidi" w:hAnsiTheme="majorBidi" w:cstheme="majorBidi"/>
          <w:sz w:val="24"/>
          <w:szCs w:val="24"/>
        </w:rPr>
        <w:t>.</w:t>
      </w:r>
      <w:r w:rsidR="00DD7F73" w:rsidRPr="00EB6674">
        <w:rPr>
          <w:rFonts w:asciiTheme="majorBidi" w:hAnsiTheme="majorBidi" w:cstheme="majorBidi"/>
          <w:sz w:val="24"/>
          <w:szCs w:val="24"/>
        </w:rPr>
        <w:t xml:space="preserve"> </w:t>
      </w:r>
      <w:r w:rsidR="00B0170C" w:rsidRPr="00B0170C">
        <w:rPr>
          <w:rFonts w:asciiTheme="majorBidi" w:hAnsiTheme="majorBidi" w:cstheme="majorBidi"/>
          <w:sz w:val="24"/>
          <w:szCs w:val="24"/>
        </w:rPr>
        <w:t>Figure 2 shows the sales of new LDVs in Tunisia and Egypt for the years 2005, 2008, 2010 and 2012</w:t>
      </w:r>
      <w:r w:rsidR="00B0170C">
        <w:rPr>
          <w:rFonts w:asciiTheme="majorBidi" w:hAnsiTheme="majorBidi" w:cstheme="majorBidi"/>
          <w:sz w:val="24"/>
          <w:szCs w:val="24"/>
        </w:rPr>
        <w:t>.</w:t>
      </w:r>
      <w:r w:rsidR="00B0170C" w:rsidRPr="00B0170C">
        <w:rPr>
          <w:rFonts w:asciiTheme="majorBidi" w:hAnsiTheme="majorBidi" w:cstheme="majorBidi"/>
          <w:sz w:val="24"/>
          <w:szCs w:val="24"/>
        </w:rPr>
        <w:t xml:space="preserve"> Figure 3 shows the sales of new LDVs in Morocco for the years 2009, 2012 and 2013.</w:t>
      </w:r>
    </w:p>
    <w:p w14:paraId="127129CC" w14:textId="3DC93288" w:rsidR="00DD7F73" w:rsidRPr="00EB6674" w:rsidRDefault="001F5F85" w:rsidP="00792E8C">
      <w:pPr>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45CF03FC" wp14:editId="0312C746">
            <wp:extent cx="3566160" cy="22860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6160" cy="2286000"/>
                    </a:xfrm>
                    <a:prstGeom prst="rect">
                      <a:avLst/>
                    </a:prstGeom>
                    <a:noFill/>
                  </pic:spPr>
                </pic:pic>
              </a:graphicData>
            </a:graphic>
          </wp:inline>
        </w:drawing>
      </w:r>
    </w:p>
    <w:p w14:paraId="0448A1E2" w14:textId="29EBB182" w:rsidR="0056719C" w:rsidRPr="0056719C" w:rsidRDefault="00A54B4F" w:rsidP="00E019EF">
      <w:pPr>
        <w:pStyle w:val="Caption"/>
        <w:jc w:val="center"/>
      </w:pPr>
      <w:bookmarkStart w:id="11" w:name="_Toc400532645"/>
      <w:r>
        <w:t xml:space="preserve">Figure </w:t>
      </w:r>
      <w:r w:rsidR="005818B3">
        <w:fldChar w:fldCharType="begin"/>
      </w:r>
      <w:r w:rsidR="005818B3">
        <w:instrText xml:space="preserve"> SEQ Figure \* ARABIC </w:instrText>
      </w:r>
      <w:r w:rsidR="005818B3">
        <w:fldChar w:fldCharType="separate"/>
      </w:r>
      <w:r w:rsidR="004D5381">
        <w:rPr>
          <w:noProof/>
        </w:rPr>
        <w:t>1</w:t>
      </w:r>
      <w:r w:rsidR="005818B3">
        <w:rPr>
          <w:noProof/>
        </w:rPr>
        <w:fldChar w:fldCharType="end"/>
      </w:r>
      <w:r>
        <w:t>: Total number of vehicles on the road. (OICA 2014)</w:t>
      </w:r>
      <w:bookmarkEnd w:id="11"/>
    </w:p>
    <w:p w14:paraId="71770642" w14:textId="321639D8" w:rsidR="00A54B4F" w:rsidRDefault="001F5F85" w:rsidP="00792E8C">
      <w:pPr>
        <w:keepNext/>
        <w:jc w:val="center"/>
      </w:pPr>
      <w:r>
        <w:rPr>
          <w:rFonts w:asciiTheme="majorBidi" w:hAnsiTheme="majorBidi" w:cstheme="majorBidi"/>
          <w:noProof/>
          <w:sz w:val="24"/>
          <w:szCs w:val="24"/>
        </w:rPr>
        <w:drawing>
          <wp:inline distT="0" distB="0" distL="0" distR="0" wp14:anchorId="0A797692" wp14:editId="2117FF78">
            <wp:extent cx="3630168" cy="2286000"/>
            <wp:effectExtent l="0" t="0" r="889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0168" cy="2286000"/>
                    </a:xfrm>
                    <a:prstGeom prst="rect">
                      <a:avLst/>
                    </a:prstGeom>
                    <a:noFill/>
                  </pic:spPr>
                </pic:pic>
              </a:graphicData>
            </a:graphic>
          </wp:inline>
        </w:drawing>
      </w:r>
      <w:r w:rsidR="00DD7F73" w:rsidRPr="00EB6674">
        <w:rPr>
          <w:rFonts w:asciiTheme="majorBidi" w:hAnsiTheme="majorBidi" w:cstheme="majorBidi"/>
          <w:sz w:val="24"/>
          <w:szCs w:val="24"/>
        </w:rPr>
        <w:t>.</w:t>
      </w:r>
    </w:p>
    <w:p w14:paraId="7E3803CA" w14:textId="77777777" w:rsidR="00FD589D" w:rsidRDefault="00A54B4F" w:rsidP="0056719C">
      <w:pPr>
        <w:pStyle w:val="Caption"/>
        <w:jc w:val="center"/>
      </w:pPr>
      <w:bookmarkStart w:id="12" w:name="_Toc400532646"/>
      <w:r>
        <w:t xml:space="preserve">Figure </w:t>
      </w:r>
      <w:r w:rsidR="005818B3">
        <w:fldChar w:fldCharType="begin"/>
      </w:r>
      <w:r w:rsidR="005818B3">
        <w:instrText xml:space="preserve"> SEQ Figure \* ARABIC </w:instrText>
      </w:r>
      <w:r w:rsidR="005818B3">
        <w:fldChar w:fldCharType="separate"/>
      </w:r>
      <w:r w:rsidR="004D5381">
        <w:rPr>
          <w:noProof/>
        </w:rPr>
        <w:t>2</w:t>
      </w:r>
      <w:r w:rsidR="005818B3">
        <w:rPr>
          <w:noProof/>
        </w:rPr>
        <w:fldChar w:fldCharType="end"/>
      </w:r>
      <w:r>
        <w:t>: Sales of new LDVs in Tunisia and Egypt (Matthias Gasnier, 2014)</w:t>
      </w:r>
      <w:bookmarkEnd w:id="12"/>
    </w:p>
    <w:p w14:paraId="45F6594A" w14:textId="77777777" w:rsidR="0056719C" w:rsidRPr="0056719C" w:rsidRDefault="0056719C" w:rsidP="0056719C"/>
    <w:p w14:paraId="16CC3DEF" w14:textId="0AB87F0E" w:rsidR="00A54B4F" w:rsidRDefault="001F5F85" w:rsidP="00792E8C">
      <w:pPr>
        <w:keepNext/>
        <w:jc w:val="center"/>
      </w:pPr>
      <w:r>
        <w:rPr>
          <w:noProof/>
        </w:rPr>
        <w:lastRenderedPageBreak/>
        <w:drawing>
          <wp:inline distT="0" distB="0" distL="0" distR="0" wp14:anchorId="7EAA345B" wp14:editId="3614A31A">
            <wp:extent cx="3566160" cy="2276856"/>
            <wp:effectExtent l="0" t="0" r="0" b="9525"/>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66160" cy="2276856"/>
                    </a:xfrm>
                    <a:prstGeom prst="rect">
                      <a:avLst/>
                    </a:prstGeom>
                    <a:noFill/>
                  </pic:spPr>
                </pic:pic>
              </a:graphicData>
            </a:graphic>
          </wp:inline>
        </w:drawing>
      </w:r>
    </w:p>
    <w:p w14:paraId="611CDB7F" w14:textId="4DB5DFDF" w:rsidR="00DB177B" w:rsidRPr="00EB6674" w:rsidRDefault="00A54B4F" w:rsidP="00CB7D6F">
      <w:pPr>
        <w:pStyle w:val="Caption"/>
        <w:jc w:val="center"/>
        <w:rPr>
          <w:rFonts w:asciiTheme="majorBidi" w:hAnsiTheme="majorBidi" w:cstheme="majorBidi"/>
          <w:sz w:val="24"/>
          <w:szCs w:val="24"/>
        </w:rPr>
      </w:pPr>
      <w:bookmarkStart w:id="13" w:name="_Toc400532647"/>
      <w:r>
        <w:t xml:space="preserve">Figure </w:t>
      </w:r>
      <w:r w:rsidR="005818B3">
        <w:fldChar w:fldCharType="begin"/>
      </w:r>
      <w:r w:rsidR="005818B3">
        <w:instrText xml:space="preserve"> SEQ Figure \* ARABIC </w:instrText>
      </w:r>
      <w:r w:rsidR="005818B3">
        <w:fldChar w:fldCharType="separate"/>
      </w:r>
      <w:r w:rsidR="004D5381">
        <w:rPr>
          <w:noProof/>
        </w:rPr>
        <w:t>3</w:t>
      </w:r>
      <w:r w:rsidR="005818B3">
        <w:rPr>
          <w:noProof/>
        </w:rPr>
        <w:fldChar w:fldCharType="end"/>
      </w:r>
      <w:r>
        <w:t>: Sales of new LDVs in Morocco</w:t>
      </w:r>
      <w:r w:rsidR="00487C23">
        <w:t xml:space="preserve"> </w:t>
      </w:r>
      <w:r w:rsidR="00487C23" w:rsidRPr="00487C23">
        <w:t>(Matthias Gasnier, 2014)</w:t>
      </w:r>
      <w:bookmarkEnd w:id="13"/>
    </w:p>
    <w:p w14:paraId="2B1D8B21" w14:textId="7A17C006" w:rsidR="007B2127" w:rsidRPr="00EB6674" w:rsidRDefault="008103F3" w:rsidP="009238B4">
      <w:pPr>
        <w:rPr>
          <w:rFonts w:asciiTheme="majorBidi" w:hAnsiTheme="majorBidi" w:cstheme="majorBidi"/>
          <w:sz w:val="24"/>
          <w:szCs w:val="24"/>
        </w:rPr>
      </w:pPr>
      <w:r>
        <w:rPr>
          <w:rFonts w:asciiTheme="majorBidi" w:hAnsiTheme="majorBidi" w:cstheme="majorBidi"/>
          <w:sz w:val="24"/>
          <w:szCs w:val="24"/>
        </w:rPr>
        <w:t>The total</w:t>
      </w:r>
      <w:r w:rsidR="00987079" w:rsidRPr="00EB6674">
        <w:rPr>
          <w:rFonts w:asciiTheme="majorBidi" w:hAnsiTheme="majorBidi" w:cstheme="majorBidi"/>
          <w:sz w:val="24"/>
          <w:szCs w:val="24"/>
        </w:rPr>
        <w:t xml:space="preserve"> number of</w:t>
      </w:r>
      <w:r>
        <w:rPr>
          <w:rFonts w:asciiTheme="majorBidi" w:hAnsiTheme="majorBidi" w:cstheme="majorBidi"/>
          <w:sz w:val="24"/>
          <w:szCs w:val="24"/>
        </w:rPr>
        <w:t xml:space="preserve"> </w:t>
      </w:r>
      <w:r w:rsidR="008A1AC6" w:rsidRPr="00EB6674">
        <w:rPr>
          <w:rFonts w:asciiTheme="majorBidi" w:hAnsiTheme="majorBidi" w:cstheme="majorBidi"/>
          <w:sz w:val="24"/>
          <w:szCs w:val="24"/>
        </w:rPr>
        <w:t xml:space="preserve">vehicles on </w:t>
      </w:r>
      <w:r w:rsidR="00987079" w:rsidRPr="00EB6674">
        <w:rPr>
          <w:rFonts w:asciiTheme="majorBidi" w:hAnsiTheme="majorBidi" w:cstheme="majorBidi"/>
          <w:sz w:val="24"/>
          <w:szCs w:val="24"/>
        </w:rPr>
        <w:t>the road reflect</w:t>
      </w:r>
      <w:r>
        <w:rPr>
          <w:rFonts w:asciiTheme="majorBidi" w:hAnsiTheme="majorBidi" w:cstheme="majorBidi"/>
          <w:sz w:val="24"/>
          <w:szCs w:val="24"/>
        </w:rPr>
        <w:t>s</w:t>
      </w:r>
      <w:r w:rsidR="00987079" w:rsidRPr="00EB6674">
        <w:rPr>
          <w:rFonts w:asciiTheme="majorBidi" w:hAnsiTheme="majorBidi" w:cstheme="majorBidi"/>
          <w:sz w:val="24"/>
          <w:szCs w:val="24"/>
        </w:rPr>
        <w:t xml:space="preserve"> the difference in population sizes. </w:t>
      </w:r>
      <w:r w:rsidR="00DB177B" w:rsidRPr="00EB6674">
        <w:rPr>
          <w:rFonts w:asciiTheme="majorBidi" w:hAnsiTheme="majorBidi" w:cstheme="majorBidi"/>
          <w:sz w:val="24"/>
          <w:szCs w:val="24"/>
        </w:rPr>
        <w:t xml:space="preserve">Tunisia’s </w:t>
      </w:r>
      <w:r w:rsidR="00E61E82" w:rsidRPr="00EB6674">
        <w:rPr>
          <w:rFonts w:asciiTheme="majorBidi" w:hAnsiTheme="majorBidi" w:cstheme="majorBidi"/>
          <w:sz w:val="24"/>
          <w:szCs w:val="24"/>
        </w:rPr>
        <w:t xml:space="preserve">population </w:t>
      </w:r>
      <w:r w:rsidR="00987079" w:rsidRPr="00EB6674">
        <w:rPr>
          <w:rFonts w:asciiTheme="majorBidi" w:hAnsiTheme="majorBidi" w:cstheme="majorBidi"/>
          <w:sz w:val="24"/>
          <w:szCs w:val="24"/>
        </w:rPr>
        <w:t xml:space="preserve">has remained around 10 million since </w:t>
      </w:r>
      <w:r w:rsidRPr="00EB6674">
        <w:rPr>
          <w:rFonts w:asciiTheme="majorBidi" w:hAnsiTheme="majorBidi" w:cstheme="majorBidi"/>
          <w:sz w:val="24"/>
          <w:szCs w:val="24"/>
        </w:rPr>
        <w:t>2006;</w:t>
      </w:r>
      <w:r w:rsidR="00987079" w:rsidRPr="00EB6674">
        <w:rPr>
          <w:rFonts w:asciiTheme="majorBidi" w:hAnsiTheme="majorBidi" w:cstheme="majorBidi"/>
          <w:sz w:val="24"/>
          <w:szCs w:val="24"/>
        </w:rPr>
        <w:t xml:space="preserve"> Morocco’s population </w:t>
      </w:r>
      <w:r>
        <w:rPr>
          <w:rFonts w:asciiTheme="majorBidi" w:hAnsiTheme="majorBidi" w:cstheme="majorBidi"/>
          <w:sz w:val="24"/>
          <w:szCs w:val="24"/>
        </w:rPr>
        <w:t xml:space="preserve">has </w:t>
      </w:r>
      <w:r w:rsidR="00987079" w:rsidRPr="00EB6674">
        <w:rPr>
          <w:rFonts w:asciiTheme="majorBidi" w:hAnsiTheme="majorBidi" w:cstheme="majorBidi"/>
          <w:sz w:val="24"/>
          <w:szCs w:val="24"/>
        </w:rPr>
        <w:t>increased by about 2 million</w:t>
      </w:r>
      <w:r w:rsidR="00E61E82" w:rsidRPr="00EB6674">
        <w:rPr>
          <w:rFonts w:asciiTheme="majorBidi" w:hAnsiTheme="majorBidi" w:cstheme="majorBidi"/>
          <w:sz w:val="24"/>
          <w:szCs w:val="24"/>
        </w:rPr>
        <w:t xml:space="preserve"> to around 32 </w:t>
      </w:r>
      <w:r>
        <w:rPr>
          <w:rFonts w:asciiTheme="majorBidi" w:hAnsiTheme="majorBidi" w:cstheme="majorBidi"/>
          <w:sz w:val="24"/>
          <w:szCs w:val="24"/>
        </w:rPr>
        <w:t xml:space="preserve">million </w:t>
      </w:r>
      <w:r w:rsidR="00E61E82" w:rsidRPr="00EB6674">
        <w:rPr>
          <w:rFonts w:asciiTheme="majorBidi" w:hAnsiTheme="majorBidi" w:cstheme="majorBidi"/>
          <w:sz w:val="24"/>
          <w:szCs w:val="24"/>
        </w:rPr>
        <w:t xml:space="preserve">and Egypt by 12 million to around 82 </w:t>
      </w:r>
      <w:r>
        <w:rPr>
          <w:rFonts w:asciiTheme="majorBidi" w:hAnsiTheme="majorBidi" w:cstheme="majorBidi"/>
          <w:sz w:val="24"/>
          <w:szCs w:val="24"/>
        </w:rPr>
        <w:t xml:space="preserve">million </w:t>
      </w:r>
      <w:r w:rsidR="00E61E82" w:rsidRPr="00EB6674">
        <w:rPr>
          <w:rFonts w:asciiTheme="majorBidi" w:hAnsiTheme="majorBidi" w:cstheme="majorBidi"/>
          <w:sz w:val="24"/>
          <w:szCs w:val="24"/>
        </w:rPr>
        <w:t>over the same period</w:t>
      </w:r>
      <w:r>
        <w:rPr>
          <w:rFonts w:asciiTheme="majorBidi" w:hAnsiTheme="majorBidi" w:cstheme="majorBidi"/>
          <w:sz w:val="24"/>
          <w:szCs w:val="24"/>
        </w:rPr>
        <w:t xml:space="preserve"> (Quandl, 2014)</w:t>
      </w:r>
      <w:r w:rsidR="00E61E82" w:rsidRPr="00EB6674">
        <w:rPr>
          <w:rFonts w:asciiTheme="majorBidi" w:hAnsiTheme="majorBidi" w:cstheme="majorBidi"/>
          <w:sz w:val="24"/>
          <w:szCs w:val="24"/>
        </w:rPr>
        <w:t xml:space="preserve">. </w:t>
      </w:r>
      <w:r w:rsidR="00987079" w:rsidRPr="00EB6674">
        <w:rPr>
          <w:rFonts w:asciiTheme="majorBidi" w:hAnsiTheme="majorBidi" w:cstheme="majorBidi"/>
          <w:sz w:val="24"/>
          <w:szCs w:val="24"/>
        </w:rPr>
        <w:t xml:space="preserve"> </w:t>
      </w:r>
      <w:r w:rsidR="00E61E82" w:rsidRPr="00EB6674">
        <w:rPr>
          <w:rFonts w:asciiTheme="majorBidi" w:hAnsiTheme="majorBidi" w:cstheme="majorBidi"/>
          <w:sz w:val="24"/>
          <w:szCs w:val="24"/>
        </w:rPr>
        <w:t xml:space="preserve"> For Tunisia, </w:t>
      </w:r>
      <w:r w:rsidR="00DB177B" w:rsidRPr="00EB6674">
        <w:rPr>
          <w:rFonts w:asciiTheme="majorBidi" w:hAnsiTheme="majorBidi" w:cstheme="majorBidi"/>
          <w:sz w:val="24"/>
          <w:szCs w:val="24"/>
        </w:rPr>
        <w:t>total number of vehicles on the road has been relatively stable from 2005 till 2012, showing</w:t>
      </w:r>
      <w:r w:rsidR="00987079" w:rsidRPr="00EB6674">
        <w:rPr>
          <w:rFonts w:asciiTheme="majorBidi" w:hAnsiTheme="majorBidi" w:cstheme="majorBidi"/>
          <w:sz w:val="24"/>
          <w:szCs w:val="24"/>
        </w:rPr>
        <w:t xml:space="preserve"> only</w:t>
      </w:r>
      <w:r w:rsidR="00DB177B" w:rsidRPr="00EB6674">
        <w:rPr>
          <w:rFonts w:asciiTheme="majorBidi" w:hAnsiTheme="majorBidi" w:cstheme="majorBidi"/>
          <w:sz w:val="24"/>
          <w:szCs w:val="24"/>
        </w:rPr>
        <w:t xml:space="preserve"> a </w:t>
      </w:r>
      <w:r w:rsidR="00C22E6B" w:rsidRPr="00EB6674">
        <w:rPr>
          <w:rFonts w:asciiTheme="majorBidi" w:hAnsiTheme="majorBidi" w:cstheme="majorBidi"/>
          <w:sz w:val="24"/>
          <w:szCs w:val="24"/>
        </w:rPr>
        <w:t xml:space="preserve">relatively </w:t>
      </w:r>
      <w:r w:rsidR="00DB177B" w:rsidRPr="00EB6674">
        <w:rPr>
          <w:rFonts w:asciiTheme="majorBidi" w:hAnsiTheme="majorBidi" w:cstheme="majorBidi"/>
          <w:sz w:val="24"/>
          <w:szCs w:val="24"/>
        </w:rPr>
        <w:t>slight increase</w:t>
      </w:r>
      <w:r w:rsidR="00C22E6B" w:rsidRPr="00EB6674">
        <w:rPr>
          <w:rFonts w:asciiTheme="majorBidi" w:hAnsiTheme="majorBidi" w:cstheme="majorBidi"/>
          <w:sz w:val="24"/>
          <w:szCs w:val="24"/>
        </w:rPr>
        <w:t xml:space="preserve"> from 974 thousand cars in 2005 to 1.35 million cars in 2012</w:t>
      </w:r>
      <w:r>
        <w:rPr>
          <w:rFonts w:asciiTheme="majorBidi" w:hAnsiTheme="majorBidi" w:cstheme="majorBidi"/>
          <w:sz w:val="24"/>
          <w:szCs w:val="24"/>
        </w:rPr>
        <w:t xml:space="preserve"> (OICA, 2014). The Moroccan case showed</w:t>
      </w:r>
      <w:r w:rsidR="00740CDB" w:rsidRPr="00EB6674">
        <w:rPr>
          <w:rFonts w:asciiTheme="majorBidi" w:hAnsiTheme="majorBidi" w:cstheme="majorBidi"/>
          <w:sz w:val="24"/>
          <w:szCs w:val="24"/>
        </w:rPr>
        <w:t xml:space="preserve"> a steady increase over the same period, though the rate of increase is lower than</w:t>
      </w:r>
      <w:r w:rsidR="00A4745F" w:rsidRPr="00EB6674">
        <w:rPr>
          <w:rFonts w:asciiTheme="majorBidi" w:hAnsiTheme="majorBidi" w:cstheme="majorBidi"/>
          <w:sz w:val="24"/>
          <w:szCs w:val="24"/>
        </w:rPr>
        <w:t xml:space="preserve"> </w:t>
      </w:r>
      <w:r w:rsidR="00740CDB" w:rsidRPr="00EB6674">
        <w:rPr>
          <w:rFonts w:asciiTheme="majorBidi" w:hAnsiTheme="majorBidi" w:cstheme="majorBidi"/>
          <w:sz w:val="24"/>
          <w:szCs w:val="24"/>
        </w:rPr>
        <w:t>Egypt</w:t>
      </w:r>
      <w:r w:rsidR="005F619B" w:rsidRPr="00EB6674">
        <w:rPr>
          <w:rFonts w:asciiTheme="majorBidi" w:hAnsiTheme="majorBidi" w:cstheme="majorBidi"/>
          <w:sz w:val="24"/>
          <w:szCs w:val="24"/>
        </w:rPr>
        <w:t>’s</w:t>
      </w:r>
      <w:r w:rsidR="00740CDB" w:rsidRPr="00EB6674">
        <w:rPr>
          <w:rFonts w:asciiTheme="majorBidi" w:hAnsiTheme="majorBidi" w:cstheme="majorBidi"/>
          <w:sz w:val="24"/>
          <w:szCs w:val="24"/>
        </w:rPr>
        <w:t>, especially over the period from 2005 till 2010.</w:t>
      </w:r>
      <w:r>
        <w:rPr>
          <w:rFonts w:asciiTheme="majorBidi" w:hAnsiTheme="majorBidi" w:cstheme="majorBidi"/>
          <w:sz w:val="24"/>
          <w:szCs w:val="24"/>
        </w:rPr>
        <w:t xml:space="preserve"> Figures 2 and 3 indicate</w:t>
      </w:r>
      <w:r w:rsidR="00836F4B" w:rsidRPr="00EB6674">
        <w:rPr>
          <w:rFonts w:asciiTheme="majorBidi" w:hAnsiTheme="majorBidi" w:cstheme="majorBidi"/>
          <w:sz w:val="24"/>
          <w:szCs w:val="24"/>
        </w:rPr>
        <w:t xml:space="preserve"> that rate of increase</w:t>
      </w:r>
      <w:r w:rsidR="005F619B" w:rsidRPr="00EB6674">
        <w:rPr>
          <w:rFonts w:asciiTheme="majorBidi" w:hAnsiTheme="majorBidi" w:cstheme="majorBidi"/>
          <w:sz w:val="24"/>
          <w:szCs w:val="24"/>
        </w:rPr>
        <w:t xml:space="preserve"> of new LDV sales</w:t>
      </w:r>
      <w:r w:rsidR="00836F4B" w:rsidRPr="00EB6674">
        <w:rPr>
          <w:rFonts w:asciiTheme="majorBidi" w:hAnsiTheme="majorBidi" w:cstheme="majorBidi"/>
          <w:sz w:val="24"/>
          <w:szCs w:val="24"/>
        </w:rPr>
        <w:t xml:space="preserve"> correlates with GDP growth fluctuations as Morocco witnessed a considerable increase in Purchasing Power Parity GDP between 2009 and 2012</w:t>
      </w:r>
      <w:r w:rsidR="009238B4">
        <w:rPr>
          <w:rFonts w:asciiTheme="majorBidi" w:hAnsiTheme="majorBidi" w:cstheme="majorBidi"/>
          <w:sz w:val="24"/>
          <w:szCs w:val="24"/>
        </w:rPr>
        <w:t xml:space="preserve"> (Quandl, 2014)</w:t>
      </w:r>
      <w:r w:rsidR="00836F4B" w:rsidRPr="00EB6674">
        <w:rPr>
          <w:rFonts w:asciiTheme="majorBidi" w:hAnsiTheme="majorBidi" w:cstheme="majorBidi"/>
          <w:sz w:val="24"/>
          <w:szCs w:val="24"/>
        </w:rPr>
        <w:t>.</w:t>
      </w:r>
      <w:r w:rsidR="00C138A8">
        <w:rPr>
          <w:rFonts w:asciiTheme="majorBidi" w:hAnsiTheme="majorBidi" w:cstheme="majorBidi"/>
          <w:sz w:val="24"/>
          <w:szCs w:val="24"/>
        </w:rPr>
        <w:t xml:space="preserve"> </w:t>
      </w:r>
      <w:r w:rsidR="00836F4B" w:rsidRPr="00EB6674">
        <w:rPr>
          <w:rFonts w:asciiTheme="majorBidi" w:hAnsiTheme="majorBidi" w:cstheme="majorBidi"/>
          <w:sz w:val="24"/>
          <w:szCs w:val="24"/>
        </w:rPr>
        <w:t xml:space="preserve">The same goes for Egypt as sharp increases in sales </w:t>
      </w:r>
      <w:r w:rsidR="00D67098" w:rsidRPr="00EB6674">
        <w:rPr>
          <w:rFonts w:asciiTheme="majorBidi" w:hAnsiTheme="majorBidi" w:cstheme="majorBidi"/>
          <w:sz w:val="24"/>
          <w:szCs w:val="24"/>
        </w:rPr>
        <w:t>of new LDVs sales over</w:t>
      </w:r>
      <w:r w:rsidR="00925D48">
        <w:rPr>
          <w:rFonts w:asciiTheme="majorBidi" w:hAnsiTheme="majorBidi" w:cstheme="majorBidi"/>
          <w:sz w:val="24"/>
          <w:szCs w:val="24"/>
        </w:rPr>
        <w:t xml:space="preserve"> the period 2005-2008 correlated</w:t>
      </w:r>
      <w:r w:rsidR="00D67098" w:rsidRPr="00EB6674">
        <w:rPr>
          <w:rFonts w:asciiTheme="majorBidi" w:hAnsiTheme="majorBidi" w:cstheme="majorBidi"/>
          <w:sz w:val="24"/>
          <w:szCs w:val="24"/>
        </w:rPr>
        <w:t xml:space="preserve"> with record high GDP growth rates</w:t>
      </w:r>
      <w:r w:rsidR="009238B4" w:rsidRPr="009238B4">
        <w:rPr>
          <w:rFonts w:asciiTheme="majorBidi" w:hAnsiTheme="majorBidi" w:cstheme="majorBidi"/>
          <w:sz w:val="24"/>
          <w:szCs w:val="24"/>
        </w:rPr>
        <w:t xml:space="preserve"> of 7</w:t>
      </w:r>
      <w:r w:rsidR="009238B4">
        <w:rPr>
          <w:rFonts w:asciiTheme="majorBidi" w:hAnsiTheme="majorBidi" w:cstheme="majorBidi"/>
          <w:sz w:val="24"/>
          <w:szCs w:val="24"/>
        </w:rPr>
        <w:t>.3 in the first quarter of 2008; whereas</w:t>
      </w:r>
      <w:r w:rsidR="00D67098" w:rsidRPr="00EB6674">
        <w:rPr>
          <w:rFonts w:asciiTheme="majorBidi" w:hAnsiTheme="majorBidi" w:cstheme="majorBidi"/>
          <w:sz w:val="24"/>
          <w:szCs w:val="24"/>
        </w:rPr>
        <w:t xml:space="preserve"> the plummeting sale</w:t>
      </w:r>
      <w:r w:rsidR="00925D48">
        <w:rPr>
          <w:rFonts w:asciiTheme="majorBidi" w:hAnsiTheme="majorBidi" w:cstheme="majorBidi"/>
          <w:sz w:val="24"/>
          <w:szCs w:val="24"/>
        </w:rPr>
        <w:t>s from 2010 till 2012 correlated</w:t>
      </w:r>
      <w:r w:rsidR="00D67098" w:rsidRPr="00EB6674">
        <w:rPr>
          <w:rFonts w:asciiTheme="majorBidi" w:hAnsiTheme="majorBidi" w:cstheme="majorBidi"/>
          <w:sz w:val="24"/>
          <w:szCs w:val="24"/>
        </w:rPr>
        <w:t xml:space="preserve"> with a significant decrease in GDP growth rates in the aftermath of the Arab spring.</w:t>
      </w:r>
    </w:p>
    <w:p w14:paraId="276F2B5C" w14:textId="77777777" w:rsidR="00D67098" w:rsidRPr="00EB6674" w:rsidRDefault="00D67098" w:rsidP="005F619B">
      <w:pPr>
        <w:rPr>
          <w:rFonts w:asciiTheme="majorBidi" w:hAnsiTheme="majorBidi" w:cstheme="majorBidi"/>
          <w:sz w:val="24"/>
          <w:szCs w:val="24"/>
        </w:rPr>
      </w:pPr>
      <w:r w:rsidRPr="00EB6674">
        <w:rPr>
          <w:rFonts w:asciiTheme="majorBidi" w:hAnsiTheme="majorBidi" w:cstheme="majorBidi"/>
          <w:sz w:val="24"/>
          <w:szCs w:val="24"/>
        </w:rPr>
        <w:t>For Tunisia, the all but steady rate of increase of both total new cars on the road and new LDV sales indicate a lower average lifetime of cars in Tunisia compared to both Morocco an</w:t>
      </w:r>
      <w:r w:rsidR="008A4B3B" w:rsidRPr="00EB6674">
        <w:rPr>
          <w:rFonts w:asciiTheme="majorBidi" w:hAnsiTheme="majorBidi" w:cstheme="majorBidi"/>
          <w:sz w:val="24"/>
          <w:szCs w:val="24"/>
        </w:rPr>
        <w:t xml:space="preserve">d Egypt where the rate of increase in total vehicles on the road remains to a large extent independent of the sales of new LDVs. </w:t>
      </w:r>
    </w:p>
    <w:p w14:paraId="6EDF2F00" w14:textId="77777777" w:rsidR="009D59BD" w:rsidRPr="009D59BD" w:rsidRDefault="008A4B3B" w:rsidP="009C2E9E">
      <w:pPr>
        <w:rPr>
          <w:rFonts w:asciiTheme="majorBidi" w:hAnsiTheme="majorBidi" w:cstheme="majorBidi"/>
          <w:sz w:val="24"/>
          <w:szCs w:val="24"/>
        </w:rPr>
      </w:pPr>
      <w:r w:rsidRPr="00EB6674">
        <w:rPr>
          <w:rFonts w:asciiTheme="majorBidi" w:hAnsiTheme="majorBidi" w:cstheme="majorBidi"/>
          <w:sz w:val="24"/>
          <w:szCs w:val="24"/>
        </w:rPr>
        <w:t>Tunisia’s average GDP growth of 3.71 over the period from 2001 till 2014, which is close to both Morocco’s and Egypt,</w:t>
      </w:r>
      <w:r w:rsidR="00925D48">
        <w:rPr>
          <w:rFonts w:asciiTheme="majorBidi" w:hAnsiTheme="majorBidi" w:cstheme="majorBidi"/>
          <w:sz w:val="24"/>
          <w:szCs w:val="24"/>
        </w:rPr>
        <w:t xml:space="preserve"> its higher GDP per capita and</w:t>
      </w:r>
      <w:r w:rsidR="00573EDC">
        <w:rPr>
          <w:rFonts w:asciiTheme="majorBidi" w:hAnsiTheme="majorBidi" w:cstheme="majorBidi"/>
          <w:sz w:val="24"/>
          <w:szCs w:val="24"/>
        </w:rPr>
        <w:t xml:space="preserve"> close</w:t>
      </w:r>
      <w:r w:rsidR="00925D48">
        <w:rPr>
          <w:rFonts w:asciiTheme="majorBidi" w:hAnsiTheme="majorBidi" w:cstheme="majorBidi"/>
          <w:sz w:val="24"/>
          <w:szCs w:val="24"/>
        </w:rPr>
        <w:t xml:space="preserve"> GINI coefficient</w:t>
      </w:r>
      <w:r w:rsidR="00573EDC">
        <w:rPr>
          <w:rFonts w:asciiTheme="majorBidi" w:hAnsiTheme="majorBidi" w:cstheme="majorBidi"/>
          <w:sz w:val="24"/>
          <w:szCs w:val="24"/>
        </w:rPr>
        <w:t>s</w:t>
      </w:r>
      <w:r w:rsidR="00925D48">
        <w:rPr>
          <w:rFonts w:asciiTheme="majorBidi" w:hAnsiTheme="majorBidi" w:cstheme="majorBidi"/>
          <w:sz w:val="24"/>
          <w:szCs w:val="24"/>
        </w:rPr>
        <w:t xml:space="preserve"> demonstrate</w:t>
      </w:r>
      <w:r w:rsidRPr="00EB6674">
        <w:rPr>
          <w:rFonts w:asciiTheme="majorBidi" w:hAnsiTheme="majorBidi" w:cstheme="majorBidi"/>
          <w:sz w:val="24"/>
          <w:szCs w:val="24"/>
        </w:rPr>
        <w:t xml:space="preserve"> that other variables are at play in the Tunisian case. Tunisia’s comparatively low population</w:t>
      </w:r>
      <w:r w:rsidR="008A1AC6" w:rsidRPr="00EB6674">
        <w:rPr>
          <w:rFonts w:asciiTheme="majorBidi" w:hAnsiTheme="majorBidi" w:cstheme="majorBidi"/>
          <w:sz w:val="24"/>
          <w:szCs w:val="24"/>
        </w:rPr>
        <w:t xml:space="preserve"> growth</w:t>
      </w:r>
      <w:r w:rsidRPr="00EB6674">
        <w:rPr>
          <w:rFonts w:asciiTheme="majorBidi" w:hAnsiTheme="majorBidi" w:cstheme="majorBidi"/>
          <w:sz w:val="24"/>
          <w:szCs w:val="24"/>
        </w:rPr>
        <w:t xml:space="preserve"> rates</w:t>
      </w:r>
      <w:r w:rsidR="008A1AC6" w:rsidRPr="00EB6674">
        <w:rPr>
          <w:rFonts w:asciiTheme="majorBidi" w:hAnsiTheme="majorBidi" w:cstheme="majorBidi"/>
          <w:sz w:val="24"/>
          <w:szCs w:val="24"/>
        </w:rPr>
        <w:t xml:space="preserve"> of 0.92%</w:t>
      </w:r>
      <w:r w:rsidR="00A73555" w:rsidRPr="00EB6674">
        <w:rPr>
          <w:rFonts w:asciiTheme="majorBidi" w:hAnsiTheme="majorBidi" w:cstheme="majorBidi"/>
          <w:sz w:val="24"/>
          <w:szCs w:val="24"/>
        </w:rPr>
        <w:t xml:space="preserve"> can only qualify as a partial explanation. The Tunisian trend therefore is attributed to factors inherent in the policy environment of the automotive sector which will be discussed in the following section.</w:t>
      </w:r>
    </w:p>
    <w:p w14:paraId="09283873" w14:textId="77777777" w:rsidR="00F615EB" w:rsidRDefault="00F615EB">
      <w:pPr>
        <w:jc w:val="left"/>
        <w:rPr>
          <w:rFonts w:asciiTheme="majorHAnsi" w:eastAsiaTheme="majorEastAsia" w:hAnsiTheme="majorHAnsi" w:cstheme="majorBidi"/>
          <w:b/>
          <w:bCs/>
          <w:color w:val="365F91" w:themeColor="accent1" w:themeShade="BF"/>
          <w:sz w:val="28"/>
          <w:szCs w:val="28"/>
        </w:rPr>
      </w:pPr>
      <w:bookmarkStart w:id="14" w:name="_Toc400533332"/>
      <w:r>
        <w:br w:type="page"/>
      </w:r>
    </w:p>
    <w:p w14:paraId="031B1741" w14:textId="29E67521" w:rsidR="00562C94" w:rsidRPr="00EB6674" w:rsidRDefault="00562C94" w:rsidP="009D59BD">
      <w:pPr>
        <w:pStyle w:val="Heading1"/>
      </w:pPr>
      <w:r w:rsidRPr="00EB6674">
        <w:lastRenderedPageBreak/>
        <w:t>LDVs Policy Environment in Tunisia</w:t>
      </w:r>
      <w:bookmarkEnd w:id="14"/>
    </w:p>
    <w:p w14:paraId="4157BCA7" w14:textId="77777777" w:rsidR="002A54CC" w:rsidRPr="00EB6674" w:rsidRDefault="00B6469D" w:rsidP="002A54CC">
      <w:pPr>
        <w:rPr>
          <w:rFonts w:asciiTheme="majorBidi" w:hAnsiTheme="majorBidi" w:cstheme="majorBidi"/>
          <w:sz w:val="24"/>
          <w:szCs w:val="24"/>
        </w:rPr>
      </w:pPr>
      <w:r w:rsidRPr="00EB6674">
        <w:rPr>
          <w:rFonts w:asciiTheme="majorBidi" w:hAnsiTheme="majorBidi" w:cstheme="majorBidi"/>
          <w:sz w:val="24"/>
          <w:szCs w:val="24"/>
        </w:rPr>
        <w:t>The Tunisian automotive market has been heavily regulated by the government since 1995.  The largest chunk of the market</w:t>
      </w:r>
      <w:r w:rsidR="00853061" w:rsidRPr="00EB6674">
        <w:rPr>
          <w:rFonts w:asciiTheme="majorBidi" w:hAnsiTheme="majorBidi" w:cstheme="majorBidi"/>
          <w:sz w:val="24"/>
          <w:szCs w:val="24"/>
        </w:rPr>
        <w:t xml:space="preserve"> is taken by small cheap cars. Tunisian market is unique in the sens</w:t>
      </w:r>
      <w:r w:rsidR="00AF003A" w:rsidRPr="00EB6674">
        <w:rPr>
          <w:rFonts w:asciiTheme="majorBidi" w:hAnsiTheme="majorBidi" w:cstheme="majorBidi"/>
          <w:sz w:val="24"/>
          <w:szCs w:val="24"/>
        </w:rPr>
        <w:t xml:space="preserve">e that </w:t>
      </w:r>
      <w:r w:rsidR="00853061" w:rsidRPr="00EB6674">
        <w:rPr>
          <w:rFonts w:asciiTheme="majorBidi" w:hAnsiTheme="majorBidi" w:cstheme="majorBidi"/>
          <w:sz w:val="24"/>
          <w:szCs w:val="24"/>
        </w:rPr>
        <w:t>the size of this portion</w:t>
      </w:r>
      <w:r w:rsidR="005B0BC8" w:rsidRPr="00EB6674">
        <w:rPr>
          <w:rFonts w:asciiTheme="majorBidi" w:hAnsiTheme="majorBidi" w:cstheme="majorBidi"/>
          <w:sz w:val="24"/>
          <w:szCs w:val="24"/>
        </w:rPr>
        <w:t>,</w:t>
      </w:r>
      <w:r w:rsidR="00853061" w:rsidRPr="00EB6674">
        <w:rPr>
          <w:rFonts w:asciiTheme="majorBidi" w:hAnsiTheme="majorBidi" w:cstheme="majorBidi"/>
          <w:sz w:val="24"/>
          <w:szCs w:val="24"/>
        </w:rPr>
        <w:t xml:space="preserve"> comprising </w:t>
      </w:r>
      <w:r w:rsidR="005B0BC8" w:rsidRPr="00EB6674">
        <w:rPr>
          <w:rFonts w:asciiTheme="majorBidi" w:hAnsiTheme="majorBidi" w:cstheme="majorBidi"/>
          <w:sz w:val="24"/>
          <w:szCs w:val="24"/>
        </w:rPr>
        <w:t>all but the entire market</w:t>
      </w:r>
      <w:r w:rsidR="00AF003A" w:rsidRPr="00EB6674">
        <w:rPr>
          <w:rFonts w:asciiTheme="majorBidi" w:hAnsiTheme="majorBidi" w:cstheme="majorBidi"/>
          <w:sz w:val="24"/>
          <w:szCs w:val="24"/>
        </w:rPr>
        <w:t xml:space="preserve"> except for a luxury cars niche, </w:t>
      </w:r>
      <w:r w:rsidR="00DD2275" w:rsidRPr="00EB6674">
        <w:rPr>
          <w:rFonts w:asciiTheme="majorBidi" w:hAnsiTheme="majorBidi" w:cstheme="majorBidi"/>
          <w:sz w:val="24"/>
          <w:szCs w:val="24"/>
        </w:rPr>
        <w:t>is completely</w:t>
      </w:r>
      <w:r w:rsidR="00AF003A" w:rsidRPr="00EB6674">
        <w:rPr>
          <w:rFonts w:asciiTheme="majorBidi" w:hAnsiTheme="majorBidi" w:cstheme="majorBidi"/>
          <w:sz w:val="24"/>
          <w:szCs w:val="24"/>
        </w:rPr>
        <w:t xml:space="preserve"> determined by the government on a</w:t>
      </w:r>
      <w:r w:rsidR="00865883">
        <w:rPr>
          <w:rFonts w:asciiTheme="majorBidi" w:hAnsiTheme="majorBidi" w:cstheme="majorBidi"/>
          <w:sz w:val="24"/>
          <w:szCs w:val="24"/>
        </w:rPr>
        <w:t>nnual basis (</w:t>
      </w:r>
      <w:r w:rsidR="00AF003A" w:rsidRPr="00EB6674">
        <w:rPr>
          <w:rFonts w:asciiTheme="majorBidi" w:hAnsiTheme="majorBidi" w:cstheme="majorBidi"/>
          <w:sz w:val="24"/>
          <w:szCs w:val="24"/>
        </w:rPr>
        <w:t xml:space="preserve">Focal Points, 2014). </w:t>
      </w:r>
      <w:r w:rsidR="00BE56E1" w:rsidRPr="00EB6674">
        <w:rPr>
          <w:rFonts w:asciiTheme="majorBidi" w:hAnsiTheme="majorBidi" w:cstheme="majorBidi"/>
          <w:sz w:val="24"/>
          <w:szCs w:val="24"/>
        </w:rPr>
        <w:t xml:space="preserve"> The quotas </w:t>
      </w:r>
      <w:r w:rsidR="005B0BC8" w:rsidRPr="00EB6674">
        <w:rPr>
          <w:rFonts w:asciiTheme="majorBidi" w:hAnsiTheme="majorBidi" w:cstheme="majorBidi"/>
          <w:sz w:val="24"/>
          <w:szCs w:val="24"/>
        </w:rPr>
        <w:t>are dete</w:t>
      </w:r>
      <w:r w:rsidR="00BE56E1" w:rsidRPr="00EB6674">
        <w:rPr>
          <w:rFonts w:asciiTheme="majorBidi" w:hAnsiTheme="majorBidi" w:cstheme="majorBidi"/>
          <w:sz w:val="24"/>
          <w:szCs w:val="24"/>
        </w:rPr>
        <w:t>rmined by several</w:t>
      </w:r>
      <w:r w:rsidR="005B0BC8" w:rsidRPr="00EB6674">
        <w:rPr>
          <w:rFonts w:asciiTheme="majorBidi" w:hAnsiTheme="majorBidi" w:cstheme="majorBidi"/>
          <w:sz w:val="24"/>
          <w:szCs w:val="24"/>
        </w:rPr>
        <w:t xml:space="preserve"> fact</w:t>
      </w:r>
      <w:r w:rsidR="00BE56E1" w:rsidRPr="00EB6674">
        <w:rPr>
          <w:rFonts w:asciiTheme="majorBidi" w:hAnsiTheme="majorBidi" w:cstheme="majorBidi"/>
          <w:sz w:val="24"/>
          <w:szCs w:val="24"/>
        </w:rPr>
        <w:t>ors. These are</w:t>
      </w:r>
      <w:r w:rsidR="005B0BC8" w:rsidRPr="00EB6674">
        <w:rPr>
          <w:rFonts w:asciiTheme="majorBidi" w:hAnsiTheme="majorBidi" w:cstheme="majorBidi"/>
          <w:sz w:val="24"/>
          <w:szCs w:val="24"/>
        </w:rPr>
        <w:t xml:space="preserve"> </w:t>
      </w:r>
      <w:r w:rsidR="00BE56E1" w:rsidRPr="00EB6674">
        <w:rPr>
          <w:rFonts w:asciiTheme="majorBidi" w:hAnsiTheme="majorBidi" w:cstheme="majorBidi"/>
          <w:sz w:val="24"/>
          <w:szCs w:val="24"/>
        </w:rPr>
        <w:t>t</w:t>
      </w:r>
      <w:r w:rsidR="00CF6CAA" w:rsidRPr="00EB6674">
        <w:rPr>
          <w:rFonts w:asciiTheme="majorBidi" w:hAnsiTheme="majorBidi" w:cstheme="majorBidi"/>
          <w:sz w:val="24"/>
          <w:szCs w:val="24"/>
        </w:rPr>
        <w:t xml:space="preserve">he country’s trade deficit, domestic demand and arrangements made </w:t>
      </w:r>
      <w:r w:rsidR="00BE56E1" w:rsidRPr="00EB6674">
        <w:rPr>
          <w:rFonts w:asciiTheme="majorBidi" w:hAnsiTheme="majorBidi" w:cstheme="majorBidi"/>
          <w:sz w:val="24"/>
          <w:szCs w:val="24"/>
        </w:rPr>
        <w:t>between foreign</w:t>
      </w:r>
      <w:r w:rsidR="00CF6CAA" w:rsidRPr="00EB6674">
        <w:rPr>
          <w:rFonts w:asciiTheme="majorBidi" w:hAnsiTheme="majorBidi" w:cstheme="majorBidi"/>
          <w:sz w:val="24"/>
          <w:szCs w:val="24"/>
        </w:rPr>
        <w:t xml:space="preserve"> automotive manufacturers</w:t>
      </w:r>
      <w:r w:rsidR="00BE56E1" w:rsidRPr="00EB6674">
        <w:rPr>
          <w:rFonts w:asciiTheme="majorBidi" w:hAnsiTheme="majorBidi" w:cstheme="majorBidi"/>
          <w:sz w:val="24"/>
          <w:szCs w:val="24"/>
        </w:rPr>
        <w:t xml:space="preserve"> and local car components manufacturers (US</w:t>
      </w:r>
      <w:r w:rsidR="005C7482">
        <w:rPr>
          <w:rFonts w:asciiTheme="majorBidi" w:hAnsiTheme="majorBidi" w:cstheme="majorBidi"/>
          <w:sz w:val="24"/>
          <w:szCs w:val="24"/>
        </w:rPr>
        <w:t xml:space="preserve"> foreign</w:t>
      </w:r>
      <w:r w:rsidR="00BE56E1" w:rsidRPr="00EB6674">
        <w:rPr>
          <w:rFonts w:asciiTheme="majorBidi" w:hAnsiTheme="majorBidi" w:cstheme="majorBidi"/>
          <w:sz w:val="24"/>
          <w:szCs w:val="24"/>
        </w:rPr>
        <w:t xml:space="preserve"> commercial service, 2012). </w:t>
      </w:r>
      <w:r w:rsidR="00796C43" w:rsidRPr="00EB6674">
        <w:rPr>
          <w:rFonts w:asciiTheme="majorBidi" w:hAnsiTheme="majorBidi" w:cstheme="majorBidi"/>
          <w:sz w:val="24"/>
          <w:szCs w:val="24"/>
        </w:rPr>
        <w:t>Those quota cars ar</w:t>
      </w:r>
      <w:r w:rsidR="00DD2275">
        <w:rPr>
          <w:rFonts w:asciiTheme="majorBidi" w:hAnsiTheme="majorBidi" w:cstheme="majorBidi"/>
          <w:sz w:val="24"/>
          <w:szCs w:val="24"/>
        </w:rPr>
        <w:t>e termed in Tunisia “Shaabiyaa”</w:t>
      </w:r>
      <w:r w:rsidR="00796C43" w:rsidRPr="00EB6674">
        <w:rPr>
          <w:rFonts w:asciiTheme="majorBidi" w:hAnsiTheme="majorBidi" w:cstheme="majorBidi"/>
          <w:sz w:val="24"/>
          <w:szCs w:val="24"/>
        </w:rPr>
        <w:t>, a word in Arabic which is close to popular.</w:t>
      </w:r>
      <w:r w:rsidR="0066555A">
        <w:rPr>
          <w:rFonts w:asciiTheme="majorBidi" w:hAnsiTheme="majorBidi" w:cstheme="majorBidi"/>
          <w:sz w:val="24"/>
          <w:szCs w:val="24"/>
        </w:rPr>
        <w:t xml:space="preserve"> For those vehicles,</w:t>
      </w:r>
      <w:r w:rsidR="00796C43" w:rsidRPr="00EB6674">
        <w:rPr>
          <w:rFonts w:asciiTheme="majorBidi" w:hAnsiTheme="majorBidi" w:cstheme="majorBidi"/>
          <w:sz w:val="24"/>
          <w:szCs w:val="24"/>
        </w:rPr>
        <w:t xml:space="preserve"> </w:t>
      </w:r>
      <w:r w:rsidR="0066555A">
        <w:rPr>
          <w:rFonts w:asciiTheme="majorBidi" w:hAnsiTheme="majorBidi" w:cstheme="majorBidi"/>
          <w:sz w:val="24"/>
          <w:szCs w:val="24"/>
        </w:rPr>
        <w:t>most of the selected ones are   small engine variants of</w:t>
      </w:r>
      <w:r w:rsidR="00556C89">
        <w:rPr>
          <w:rFonts w:asciiTheme="majorBidi" w:hAnsiTheme="majorBidi" w:cstheme="majorBidi"/>
          <w:sz w:val="24"/>
          <w:szCs w:val="24"/>
        </w:rPr>
        <w:t xml:space="preserve"> popular</w:t>
      </w:r>
      <w:r w:rsidR="0066555A">
        <w:rPr>
          <w:rFonts w:asciiTheme="majorBidi" w:hAnsiTheme="majorBidi" w:cstheme="majorBidi"/>
          <w:sz w:val="24"/>
          <w:szCs w:val="24"/>
        </w:rPr>
        <w:t xml:space="preserve"> models posing</w:t>
      </w:r>
      <w:r w:rsidR="00C95B60">
        <w:rPr>
          <w:rFonts w:asciiTheme="majorBidi" w:hAnsiTheme="majorBidi" w:cstheme="majorBidi"/>
          <w:sz w:val="24"/>
          <w:szCs w:val="24"/>
        </w:rPr>
        <w:t xml:space="preserve"> lesser technological sophistication than the ones in their countries of origin.</w:t>
      </w:r>
    </w:p>
    <w:p w14:paraId="5DED3AAB" w14:textId="77777777" w:rsidR="004266A3" w:rsidRDefault="004266A3" w:rsidP="002A54CC">
      <w:pPr>
        <w:rPr>
          <w:rFonts w:asciiTheme="majorBidi" w:hAnsiTheme="majorBidi" w:cstheme="majorBidi"/>
          <w:sz w:val="24"/>
          <w:szCs w:val="24"/>
        </w:rPr>
      </w:pPr>
      <w:r w:rsidRPr="00EB6674">
        <w:rPr>
          <w:rFonts w:asciiTheme="majorBidi" w:hAnsiTheme="majorBidi" w:cstheme="majorBidi"/>
          <w:sz w:val="24"/>
          <w:szCs w:val="24"/>
        </w:rPr>
        <w:t>The tariff barriers in Tunisia are</w:t>
      </w:r>
      <w:r w:rsidR="00C76420" w:rsidRPr="00EB6674">
        <w:rPr>
          <w:rFonts w:asciiTheme="majorBidi" w:hAnsiTheme="majorBidi" w:cstheme="majorBidi"/>
          <w:sz w:val="24"/>
          <w:szCs w:val="24"/>
        </w:rPr>
        <w:t xml:space="preserve"> among the highest in the world and could reach up to 200%. More</w:t>
      </w:r>
      <w:r w:rsidR="00B01A3C" w:rsidRPr="00EB6674">
        <w:rPr>
          <w:rFonts w:asciiTheme="majorBidi" w:hAnsiTheme="majorBidi" w:cstheme="majorBidi"/>
          <w:sz w:val="24"/>
          <w:szCs w:val="24"/>
        </w:rPr>
        <w:t>o</w:t>
      </w:r>
      <w:r w:rsidR="00C76420" w:rsidRPr="00EB6674">
        <w:rPr>
          <w:rFonts w:asciiTheme="majorBidi" w:hAnsiTheme="majorBidi" w:cstheme="majorBidi"/>
          <w:sz w:val="24"/>
          <w:szCs w:val="24"/>
        </w:rPr>
        <w:t xml:space="preserve">ver, </w:t>
      </w:r>
      <w:r w:rsidR="00B01A3C" w:rsidRPr="00EB6674">
        <w:rPr>
          <w:rFonts w:asciiTheme="majorBidi" w:hAnsiTheme="majorBidi" w:cstheme="majorBidi"/>
          <w:sz w:val="24"/>
          <w:szCs w:val="24"/>
        </w:rPr>
        <w:t>i</w:t>
      </w:r>
      <w:r w:rsidR="00C76420" w:rsidRPr="00EB6674">
        <w:rPr>
          <w:rFonts w:asciiTheme="majorBidi" w:hAnsiTheme="majorBidi" w:cstheme="majorBidi"/>
          <w:sz w:val="24"/>
          <w:szCs w:val="24"/>
        </w:rPr>
        <w:t>mported</w:t>
      </w:r>
      <w:r w:rsidR="00B01A3C" w:rsidRPr="00EB6674">
        <w:rPr>
          <w:rFonts w:asciiTheme="majorBidi" w:hAnsiTheme="majorBidi" w:cstheme="majorBidi"/>
          <w:sz w:val="24"/>
          <w:szCs w:val="24"/>
        </w:rPr>
        <w:t xml:space="preserve"> Shaabiyaa</w:t>
      </w:r>
      <w:r w:rsidR="00C76420" w:rsidRPr="00EB6674">
        <w:rPr>
          <w:rFonts w:asciiTheme="majorBidi" w:hAnsiTheme="majorBidi" w:cstheme="majorBidi"/>
          <w:sz w:val="24"/>
          <w:szCs w:val="24"/>
        </w:rPr>
        <w:t xml:space="preserve"> cars are liable to a 12</w:t>
      </w:r>
      <w:r w:rsidR="002C1C50" w:rsidRPr="00EB6674">
        <w:rPr>
          <w:rFonts w:asciiTheme="majorBidi" w:hAnsiTheme="majorBidi" w:cstheme="majorBidi"/>
          <w:sz w:val="24"/>
          <w:szCs w:val="24"/>
        </w:rPr>
        <w:t xml:space="preserve"> </w:t>
      </w:r>
      <w:r w:rsidR="00C76420" w:rsidRPr="00EB6674">
        <w:rPr>
          <w:rFonts w:asciiTheme="majorBidi" w:hAnsiTheme="majorBidi" w:cstheme="majorBidi"/>
          <w:sz w:val="24"/>
          <w:szCs w:val="24"/>
        </w:rPr>
        <w:t>% VAT</w:t>
      </w:r>
      <w:r w:rsidR="002C1C50" w:rsidRPr="00EB6674">
        <w:rPr>
          <w:rFonts w:asciiTheme="majorBidi" w:hAnsiTheme="majorBidi" w:cstheme="majorBidi"/>
          <w:sz w:val="24"/>
          <w:szCs w:val="24"/>
        </w:rPr>
        <w:t xml:space="preserve"> and a 3% customs formality fee</w:t>
      </w:r>
      <w:r w:rsidR="0075511C" w:rsidRPr="00EB6674">
        <w:rPr>
          <w:rFonts w:asciiTheme="majorBidi" w:hAnsiTheme="majorBidi" w:cstheme="majorBidi"/>
          <w:sz w:val="24"/>
          <w:szCs w:val="24"/>
        </w:rPr>
        <w:t xml:space="preserve"> (Meritas, 2013)</w:t>
      </w:r>
      <w:r w:rsidR="00C76420" w:rsidRPr="00EB6674">
        <w:rPr>
          <w:rFonts w:asciiTheme="majorBidi" w:hAnsiTheme="majorBidi" w:cstheme="majorBidi"/>
          <w:sz w:val="24"/>
          <w:szCs w:val="24"/>
        </w:rPr>
        <w:t>.</w:t>
      </w:r>
    </w:p>
    <w:p w14:paraId="70F0A775" w14:textId="77777777" w:rsidR="008F1B3E" w:rsidRPr="00EB6674" w:rsidRDefault="00100284" w:rsidP="00EB582B">
      <w:pPr>
        <w:rPr>
          <w:rFonts w:asciiTheme="majorBidi" w:hAnsiTheme="majorBidi" w:cstheme="majorBidi"/>
          <w:sz w:val="24"/>
          <w:szCs w:val="24"/>
        </w:rPr>
      </w:pPr>
      <w:r>
        <w:rPr>
          <w:rFonts w:asciiTheme="majorBidi" w:hAnsiTheme="majorBidi" w:cstheme="majorBidi"/>
          <w:sz w:val="24"/>
          <w:szCs w:val="24"/>
        </w:rPr>
        <w:t>European manufacturers have the lion’s share of the Tunisian market with mainly French manufacturers in addition to Volkswagen. American, Japanese and Korean manufacturers have made incursions into the market</w:t>
      </w:r>
      <w:r w:rsidR="00EB582B">
        <w:rPr>
          <w:rFonts w:asciiTheme="majorBidi" w:hAnsiTheme="majorBidi" w:cstheme="majorBidi"/>
          <w:sz w:val="24"/>
          <w:szCs w:val="24"/>
        </w:rPr>
        <w:t xml:space="preserve"> </w:t>
      </w:r>
      <w:r w:rsidR="00EB582B" w:rsidRPr="00EB582B">
        <w:rPr>
          <w:rFonts w:asciiTheme="majorBidi" w:hAnsiTheme="majorBidi" w:cstheme="majorBidi"/>
          <w:sz w:val="24"/>
          <w:szCs w:val="24"/>
        </w:rPr>
        <w:t xml:space="preserve">(US commercial service, 2012). </w:t>
      </w:r>
      <w:r w:rsidR="00EB582B">
        <w:rPr>
          <w:rFonts w:asciiTheme="majorBidi" w:hAnsiTheme="majorBidi" w:cstheme="majorBidi"/>
          <w:sz w:val="24"/>
          <w:szCs w:val="24"/>
        </w:rPr>
        <w:t xml:space="preserve">  </w:t>
      </w:r>
    </w:p>
    <w:p w14:paraId="5B551E93" w14:textId="77777777" w:rsidR="002C1C50" w:rsidRPr="00EB6674" w:rsidRDefault="002C1C50" w:rsidP="009845E7">
      <w:pPr>
        <w:rPr>
          <w:rFonts w:asciiTheme="majorBidi" w:hAnsiTheme="majorBidi" w:cstheme="majorBidi"/>
          <w:sz w:val="24"/>
          <w:szCs w:val="24"/>
        </w:rPr>
      </w:pPr>
      <w:r w:rsidRPr="00EB6674">
        <w:rPr>
          <w:rFonts w:asciiTheme="majorBidi" w:hAnsiTheme="majorBidi" w:cstheme="majorBidi"/>
          <w:sz w:val="24"/>
          <w:szCs w:val="24"/>
        </w:rPr>
        <w:t>Luxury and 4 by 4  cars are sold through authorized dealers</w:t>
      </w:r>
      <w:r w:rsidR="00F41EC1" w:rsidRPr="00EB6674">
        <w:rPr>
          <w:rFonts w:asciiTheme="majorBidi" w:hAnsiTheme="majorBidi" w:cstheme="majorBidi"/>
          <w:sz w:val="24"/>
          <w:szCs w:val="24"/>
        </w:rPr>
        <w:t xml:space="preserve"> though they are subject to </w:t>
      </w:r>
      <w:r w:rsidRPr="00EB6674">
        <w:rPr>
          <w:rFonts w:asciiTheme="majorBidi" w:hAnsiTheme="majorBidi" w:cstheme="majorBidi"/>
          <w:sz w:val="24"/>
          <w:szCs w:val="24"/>
        </w:rPr>
        <w:t>very high consumption tax</w:t>
      </w:r>
      <w:r w:rsidR="00F41EC1" w:rsidRPr="00EB6674">
        <w:rPr>
          <w:rFonts w:asciiTheme="majorBidi" w:hAnsiTheme="majorBidi" w:cstheme="majorBidi"/>
          <w:sz w:val="24"/>
          <w:szCs w:val="24"/>
        </w:rPr>
        <w:t xml:space="preserve"> rates</w:t>
      </w:r>
      <w:r w:rsidR="009845E7" w:rsidRPr="00EB6674">
        <w:rPr>
          <w:rFonts w:asciiTheme="majorBidi" w:hAnsiTheme="majorBidi" w:cstheme="majorBidi"/>
          <w:sz w:val="24"/>
          <w:szCs w:val="24"/>
        </w:rPr>
        <w:t xml:space="preserve"> of 67% and 88% for petrol and diesel luxury cars, respectively ( US commercial service, 2012)</w:t>
      </w:r>
      <w:r w:rsidR="0075511C" w:rsidRPr="00EB6674">
        <w:rPr>
          <w:rFonts w:asciiTheme="majorBidi" w:hAnsiTheme="majorBidi" w:cstheme="majorBidi"/>
          <w:sz w:val="24"/>
          <w:szCs w:val="24"/>
        </w:rPr>
        <w:t xml:space="preserve">. They are not subject to the quota system, yet the </w:t>
      </w:r>
      <w:r w:rsidR="00053118" w:rsidRPr="00EB6674">
        <w:rPr>
          <w:rFonts w:asciiTheme="majorBidi" w:hAnsiTheme="majorBidi" w:cstheme="majorBidi"/>
          <w:sz w:val="24"/>
          <w:szCs w:val="24"/>
        </w:rPr>
        <w:t>handicapping rates confines luxury cars to a</w:t>
      </w:r>
      <w:r w:rsidR="00BA1C48" w:rsidRPr="00EB6674">
        <w:rPr>
          <w:rFonts w:asciiTheme="majorBidi" w:hAnsiTheme="majorBidi" w:cstheme="majorBidi"/>
          <w:sz w:val="24"/>
          <w:szCs w:val="24"/>
        </w:rPr>
        <w:t xml:space="preserve"> very</w:t>
      </w:r>
      <w:r w:rsidR="00053118" w:rsidRPr="00EB6674">
        <w:rPr>
          <w:rFonts w:asciiTheme="majorBidi" w:hAnsiTheme="majorBidi" w:cstheme="majorBidi"/>
          <w:sz w:val="24"/>
          <w:szCs w:val="24"/>
        </w:rPr>
        <w:t xml:space="preserve"> small share of the market.  Tax breaks are granted to</w:t>
      </w:r>
      <w:r w:rsidR="0044195C" w:rsidRPr="00EB6674">
        <w:rPr>
          <w:rFonts w:asciiTheme="majorBidi" w:hAnsiTheme="majorBidi" w:cstheme="majorBidi"/>
          <w:sz w:val="24"/>
          <w:szCs w:val="24"/>
        </w:rPr>
        <w:t xml:space="preserve"> cars owned by </w:t>
      </w:r>
      <w:r w:rsidR="00053118" w:rsidRPr="00EB6674">
        <w:rPr>
          <w:rFonts w:asciiTheme="majorBidi" w:hAnsiTheme="majorBidi" w:cstheme="majorBidi"/>
          <w:sz w:val="24"/>
          <w:szCs w:val="24"/>
        </w:rPr>
        <w:t>Tunisians abroad relocating</w:t>
      </w:r>
      <w:r w:rsidR="0075511C" w:rsidRPr="00EB6674">
        <w:rPr>
          <w:rFonts w:asciiTheme="majorBidi" w:hAnsiTheme="majorBidi" w:cstheme="majorBidi"/>
          <w:sz w:val="24"/>
          <w:szCs w:val="24"/>
        </w:rPr>
        <w:t xml:space="preserve"> </w:t>
      </w:r>
      <w:r w:rsidR="00053118" w:rsidRPr="00EB6674">
        <w:rPr>
          <w:rFonts w:asciiTheme="majorBidi" w:hAnsiTheme="majorBidi" w:cstheme="majorBidi"/>
          <w:sz w:val="24"/>
          <w:szCs w:val="24"/>
        </w:rPr>
        <w:t>to Tunisia, with the provision that they remain circulating within first degree relatives</w:t>
      </w:r>
      <w:r w:rsidR="00BA1C48" w:rsidRPr="00EB6674">
        <w:rPr>
          <w:rFonts w:asciiTheme="majorBidi" w:hAnsiTheme="majorBidi" w:cstheme="majorBidi"/>
          <w:sz w:val="24"/>
          <w:szCs w:val="24"/>
        </w:rPr>
        <w:t>. Obtaining</w:t>
      </w:r>
      <w:r w:rsidR="00BB10A1" w:rsidRPr="00EB6674">
        <w:rPr>
          <w:rFonts w:asciiTheme="majorBidi" w:hAnsiTheme="majorBidi" w:cstheme="majorBidi"/>
          <w:sz w:val="24"/>
          <w:szCs w:val="24"/>
        </w:rPr>
        <w:t xml:space="preserve"> the</w:t>
      </w:r>
      <w:r w:rsidR="0044195C" w:rsidRPr="00EB6674">
        <w:rPr>
          <w:rFonts w:asciiTheme="majorBidi" w:hAnsiTheme="majorBidi" w:cstheme="majorBidi"/>
          <w:sz w:val="24"/>
          <w:szCs w:val="24"/>
        </w:rPr>
        <w:t xml:space="preserve"> exact figures for size of this alternative market is beyond</w:t>
      </w:r>
      <w:r w:rsidR="00BB10A1" w:rsidRPr="00EB6674">
        <w:rPr>
          <w:rFonts w:asciiTheme="majorBidi" w:hAnsiTheme="majorBidi" w:cstheme="majorBidi"/>
          <w:sz w:val="24"/>
          <w:szCs w:val="24"/>
        </w:rPr>
        <w:t xml:space="preserve"> the resources allocated to this report, yet it would be relaxingly on the safe side to state that it can never exceed 10% of the total vehicles market.</w:t>
      </w:r>
      <w:r w:rsidR="00BA1C48" w:rsidRPr="00EB6674">
        <w:rPr>
          <w:rFonts w:asciiTheme="majorBidi" w:hAnsiTheme="majorBidi" w:cstheme="majorBidi"/>
          <w:sz w:val="24"/>
          <w:szCs w:val="24"/>
        </w:rPr>
        <w:t xml:space="preserve"> </w:t>
      </w:r>
      <w:r w:rsidR="00E305C0" w:rsidRPr="00EB6674">
        <w:rPr>
          <w:rFonts w:asciiTheme="majorBidi" w:hAnsiTheme="majorBidi" w:cstheme="majorBidi"/>
          <w:sz w:val="24"/>
          <w:szCs w:val="24"/>
        </w:rPr>
        <w:t>Nonetheless</w:t>
      </w:r>
      <w:r w:rsidR="00EB6674">
        <w:rPr>
          <w:rFonts w:asciiTheme="majorBidi" w:hAnsiTheme="majorBidi" w:cstheme="majorBidi"/>
          <w:sz w:val="24"/>
          <w:szCs w:val="24"/>
        </w:rPr>
        <w:t>,</w:t>
      </w:r>
      <w:r w:rsidR="00E305C0" w:rsidRPr="00EB6674">
        <w:rPr>
          <w:rFonts w:asciiTheme="majorBidi" w:hAnsiTheme="majorBidi" w:cstheme="majorBidi"/>
          <w:sz w:val="24"/>
          <w:szCs w:val="24"/>
        </w:rPr>
        <w:t xml:space="preserve"> there are serious attempts on part of the Tunisian government </w:t>
      </w:r>
      <w:r w:rsidR="00FC1E73" w:rsidRPr="00EB6674">
        <w:rPr>
          <w:rFonts w:asciiTheme="majorBidi" w:hAnsiTheme="majorBidi" w:cstheme="majorBidi"/>
          <w:sz w:val="24"/>
          <w:szCs w:val="24"/>
        </w:rPr>
        <w:t xml:space="preserve">to </w:t>
      </w:r>
      <w:r w:rsidR="00E305C0" w:rsidRPr="00EB6674">
        <w:rPr>
          <w:rFonts w:asciiTheme="majorBidi" w:hAnsiTheme="majorBidi" w:cstheme="majorBidi"/>
          <w:sz w:val="24"/>
          <w:szCs w:val="24"/>
        </w:rPr>
        <w:t>curb this market.</w:t>
      </w:r>
      <w:r w:rsidR="00EB6674">
        <w:rPr>
          <w:rFonts w:asciiTheme="majorBidi" w:hAnsiTheme="majorBidi" w:cstheme="majorBidi"/>
          <w:sz w:val="24"/>
          <w:szCs w:val="24"/>
        </w:rPr>
        <w:t xml:space="preserve"> </w:t>
      </w:r>
    </w:p>
    <w:p w14:paraId="6B82DCF8" w14:textId="0EEE453F" w:rsidR="00573EDC" w:rsidRPr="00080097" w:rsidRDefault="00FC1E73" w:rsidP="00080097">
      <w:pPr>
        <w:rPr>
          <w:rFonts w:asciiTheme="majorBidi" w:hAnsiTheme="majorBidi" w:cstheme="majorBidi"/>
          <w:sz w:val="24"/>
          <w:szCs w:val="24"/>
        </w:rPr>
      </w:pPr>
      <w:r w:rsidRPr="00EB6674">
        <w:rPr>
          <w:rFonts w:asciiTheme="majorBidi" w:hAnsiTheme="majorBidi" w:cstheme="majorBidi"/>
          <w:sz w:val="24"/>
          <w:szCs w:val="24"/>
        </w:rPr>
        <w:t>Vehicles franchise holders are pu</w:t>
      </w:r>
      <w:r w:rsidR="00CA1692" w:rsidRPr="00EB6674">
        <w:rPr>
          <w:rFonts w:asciiTheme="majorBidi" w:hAnsiTheme="majorBidi" w:cstheme="majorBidi"/>
          <w:sz w:val="24"/>
          <w:szCs w:val="24"/>
        </w:rPr>
        <w:t xml:space="preserve">shing for increasing the quotas. There is also a detectable level of popular  </w:t>
      </w:r>
      <w:r w:rsidR="005D73AA">
        <w:rPr>
          <w:rFonts w:asciiTheme="majorBidi" w:hAnsiTheme="majorBidi" w:cstheme="majorBidi"/>
          <w:sz w:val="24"/>
          <w:szCs w:val="24"/>
        </w:rPr>
        <w:t>dis</w:t>
      </w:r>
      <w:r w:rsidR="00F17530">
        <w:rPr>
          <w:rFonts w:asciiTheme="majorBidi" w:hAnsiTheme="majorBidi" w:cstheme="majorBidi"/>
          <w:sz w:val="24"/>
          <w:szCs w:val="24"/>
        </w:rPr>
        <w:t>s</w:t>
      </w:r>
      <w:r w:rsidR="005D73AA">
        <w:rPr>
          <w:rFonts w:asciiTheme="majorBidi" w:hAnsiTheme="majorBidi" w:cstheme="majorBidi"/>
          <w:sz w:val="24"/>
          <w:szCs w:val="24"/>
        </w:rPr>
        <w:t>atisfaction</w:t>
      </w:r>
      <w:r w:rsidR="00CA1692" w:rsidRPr="00EB6674">
        <w:rPr>
          <w:rFonts w:asciiTheme="majorBidi" w:hAnsiTheme="majorBidi" w:cstheme="majorBidi"/>
          <w:sz w:val="24"/>
          <w:szCs w:val="24"/>
        </w:rPr>
        <w:t xml:space="preserve"> with the quota system since Tunisia’s indicators discussed in the previous chapters fare ver</w:t>
      </w:r>
      <w:r w:rsidR="00BC1941" w:rsidRPr="00EB6674">
        <w:rPr>
          <w:rFonts w:asciiTheme="majorBidi" w:hAnsiTheme="majorBidi" w:cstheme="majorBidi"/>
          <w:sz w:val="24"/>
          <w:szCs w:val="24"/>
        </w:rPr>
        <w:t>y well in comparison to Morocco</w:t>
      </w:r>
      <w:r w:rsidR="00CA1692" w:rsidRPr="00EB6674">
        <w:rPr>
          <w:rFonts w:asciiTheme="majorBidi" w:hAnsiTheme="majorBidi" w:cstheme="majorBidi"/>
          <w:sz w:val="24"/>
          <w:szCs w:val="24"/>
        </w:rPr>
        <w:t xml:space="preserve"> and</w:t>
      </w:r>
      <w:r w:rsidR="00BC1941" w:rsidRPr="00EB6674">
        <w:rPr>
          <w:rFonts w:asciiTheme="majorBidi" w:hAnsiTheme="majorBidi" w:cstheme="majorBidi"/>
          <w:sz w:val="24"/>
          <w:szCs w:val="24"/>
        </w:rPr>
        <w:t xml:space="preserve"> Egypt albeit</w:t>
      </w:r>
      <w:r w:rsidR="00CA1692" w:rsidRPr="00EB6674">
        <w:rPr>
          <w:rFonts w:asciiTheme="majorBidi" w:hAnsiTheme="majorBidi" w:cstheme="majorBidi"/>
          <w:sz w:val="24"/>
          <w:szCs w:val="24"/>
        </w:rPr>
        <w:t xml:space="preserve"> </w:t>
      </w:r>
      <w:r w:rsidR="00EB6674">
        <w:rPr>
          <w:rFonts w:asciiTheme="majorBidi" w:hAnsiTheme="majorBidi" w:cstheme="majorBidi"/>
          <w:sz w:val="24"/>
          <w:szCs w:val="24"/>
        </w:rPr>
        <w:t xml:space="preserve"> the diversity in their markets </w:t>
      </w:r>
      <w:r w:rsidR="0014399A">
        <w:rPr>
          <w:rFonts w:asciiTheme="majorBidi" w:hAnsiTheme="majorBidi" w:cstheme="majorBidi"/>
          <w:sz w:val="24"/>
          <w:szCs w:val="24"/>
        </w:rPr>
        <w:t xml:space="preserve">are much higher </w:t>
      </w:r>
      <w:r w:rsidR="001423AC">
        <w:rPr>
          <w:rFonts w:asciiTheme="majorBidi" w:hAnsiTheme="majorBidi" w:cstheme="majorBidi"/>
          <w:sz w:val="24"/>
          <w:szCs w:val="24"/>
        </w:rPr>
        <w:t>with more abundance of upmarket vehicles. Macroeconomic consid</w:t>
      </w:r>
      <w:r w:rsidR="008F1B3E">
        <w:rPr>
          <w:rFonts w:asciiTheme="majorBidi" w:hAnsiTheme="majorBidi" w:cstheme="majorBidi"/>
          <w:sz w:val="24"/>
          <w:szCs w:val="24"/>
        </w:rPr>
        <w:t xml:space="preserve">erations weigh on government’s </w:t>
      </w:r>
      <w:r w:rsidR="001423AC">
        <w:rPr>
          <w:rFonts w:asciiTheme="majorBidi" w:hAnsiTheme="majorBidi" w:cstheme="majorBidi"/>
          <w:sz w:val="24"/>
          <w:szCs w:val="24"/>
        </w:rPr>
        <w:t>decisions in that regard.</w:t>
      </w:r>
      <w:r w:rsidR="00556C89">
        <w:rPr>
          <w:rFonts w:asciiTheme="majorBidi" w:hAnsiTheme="majorBidi" w:cstheme="majorBidi"/>
          <w:sz w:val="24"/>
          <w:szCs w:val="24"/>
        </w:rPr>
        <w:t xml:space="preserve"> The higher level of urbanization compared to other </w:t>
      </w:r>
      <w:r w:rsidR="008D6062">
        <w:rPr>
          <w:rFonts w:asciiTheme="majorBidi" w:hAnsiTheme="majorBidi" w:cstheme="majorBidi"/>
          <w:sz w:val="24"/>
          <w:szCs w:val="24"/>
        </w:rPr>
        <w:t>North African</w:t>
      </w:r>
      <w:r w:rsidR="00556C89">
        <w:rPr>
          <w:rFonts w:asciiTheme="majorBidi" w:hAnsiTheme="majorBidi" w:cstheme="majorBidi"/>
          <w:sz w:val="24"/>
          <w:szCs w:val="24"/>
        </w:rPr>
        <w:t xml:space="preserve"> countries and the relative abundance of public transportation help curtail popular criticism of the existing policies.</w:t>
      </w:r>
    </w:p>
    <w:p w14:paraId="128CE112" w14:textId="3035CCBF" w:rsidR="00F615EB" w:rsidRDefault="00F615EB" w:rsidP="00F615EB">
      <w:pPr>
        <w:pStyle w:val="Heading1"/>
        <w:numPr>
          <w:ilvl w:val="0"/>
          <w:numId w:val="0"/>
        </w:numPr>
        <w:ind w:left="432" w:hanging="432"/>
      </w:pPr>
      <w:bookmarkStart w:id="15" w:name="_Toc400533333"/>
    </w:p>
    <w:p w14:paraId="2ABF7F69" w14:textId="77777777" w:rsidR="00F615EB" w:rsidRDefault="00F615EB">
      <w:pPr>
        <w:jc w:val="left"/>
        <w:rPr>
          <w:rFonts w:asciiTheme="majorHAnsi" w:eastAsiaTheme="majorEastAsia" w:hAnsiTheme="majorHAnsi" w:cstheme="majorBidi"/>
          <w:b/>
          <w:bCs/>
          <w:color w:val="365F91" w:themeColor="accent1" w:themeShade="BF"/>
          <w:sz w:val="28"/>
          <w:szCs w:val="28"/>
        </w:rPr>
      </w:pPr>
      <w:r>
        <w:br w:type="page"/>
      </w:r>
    </w:p>
    <w:p w14:paraId="166401B2" w14:textId="41A32497" w:rsidR="00C06FF6" w:rsidRDefault="00387932" w:rsidP="009C2E9E">
      <w:pPr>
        <w:pStyle w:val="Heading1"/>
      </w:pPr>
      <w:r>
        <w:lastRenderedPageBreak/>
        <w:t>Data for</w:t>
      </w:r>
      <w:r w:rsidR="00B34081">
        <w:t xml:space="preserve"> CO</w:t>
      </w:r>
      <w:r w:rsidR="00B34081">
        <w:rPr>
          <w:vertAlign w:val="subscript"/>
        </w:rPr>
        <w:t>2</w:t>
      </w:r>
      <w:r w:rsidR="000342F5">
        <w:t xml:space="preserve">   Emissions</w:t>
      </w:r>
      <w:r w:rsidR="00C3400E">
        <w:t xml:space="preserve"> and Fuel consumption</w:t>
      </w:r>
      <w:r w:rsidR="00C06FF6" w:rsidRPr="00C06FF6">
        <w:t xml:space="preserve"> in Tunisia</w:t>
      </w:r>
      <w:bookmarkEnd w:id="15"/>
    </w:p>
    <w:p w14:paraId="77F06A9C" w14:textId="270A43FA" w:rsidR="00573EDC" w:rsidRPr="00E019EF" w:rsidRDefault="00573EDC" w:rsidP="00E019EF">
      <w:pPr>
        <w:rPr>
          <w:rFonts w:asciiTheme="majorBidi" w:hAnsiTheme="majorBidi" w:cstheme="majorBidi"/>
          <w:sz w:val="24"/>
          <w:szCs w:val="24"/>
        </w:rPr>
      </w:pPr>
      <w:r>
        <w:rPr>
          <w:rFonts w:asciiTheme="majorBidi" w:hAnsiTheme="majorBidi" w:cstheme="majorBidi"/>
          <w:sz w:val="24"/>
          <w:szCs w:val="24"/>
        </w:rPr>
        <w:t>Figure 4</w:t>
      </w:r>
      <w:r w:rsidR="00212622">
        <w:rPr>
          <w:rFonts w:asciiTheme="majorBidi" w:hAnsiTheme="majorBidi" w:cstheme="majorBidi"/>
          <w:sz w:val="24"/>
          <w:szCs w:val="24"/>
        </w:rPr>
        <w:t xml:space="preserve"> shows the evolution of  </w:t>
      </w:r>
      <w:r w:rsidR="005B2764">
        <w:rPr>
          <w:rFonts w:asciiTheme="majorBidi" w:hAnsiTheme="majorBidi" w:cstheme="majorBidi"/>
          <w:sz w:val="24"/>
          <w:szCs w:val="24"/>
        </w:rPr>
        <w:t xml:space="preserve"> LDVs </w:t>
      </w:r>
      <w:r w:rsidR="00212622">
        <w:rPr>
          <w:rFonts w:asciiTheme="majorBidi" w:hAnsiTheme="majorBidi" w:cstheme="majorBidi"/>
          <w:sz w:val="24"/>
          <w:szCs w:val="24"/>
        </w:rPr>
        <w:t>CO2 emissions</w:t>
      </w:r>
      <w:r w:rsidR="005B2764">
        <w:rPr>
          <w:rFonts w:asciiTheme="majorBidi" w:hAnsiTheme="majorBidi" w:cstheme="majorBidi"/>
          <w:sz w:val="24"/>
          <w:szCs w:val="24"/>
        </w:rPr>
        <w:t xml:space="preserve"> in Tunisia for the years 2005, 2008, 2010 and 2012.</w:t>
      </w:r>
      <w:r w:rsidR="001A4855">
        <w:rPr>
          <w:rFonts w:asciiTheme="majorBidi" w:hAnsiTheme="majorBidi" w:cstheme="majorBidi"/>
          <w:sz w:val="24"/>
          <w:szCs w:val="24"/>
        </w:rPr>
        <w:t xml:space="preserve"> </w:t>
      </w:r>
      <w:r w:rsidR="000C1694">
        <w:rPr>
          <w:rFonts w:asciiTheme="majorBidi" w:hAnsiTheme="majorBidi" w:cstheme="majorBidi"/>
          <w:sz w:val="24"/>
          <w:szCs w:val="24"/>
        </w:rPr>
        <w:t>The weighted average was calculated</w:t>
      </w:r>
      <w:r w:rsidR="000342F5">
        <w:rPr>
          <w:rFonts w:asciiTheme="majorBidi" w:hAnsiTheme="majorBidi" w:cstheme="majorBidi"/>
          <w:sz w:val="24"/>
          <w:szCs w:val="24"/>
        </w:rPr>
        <w:t xml:space="preserve"> according to the GFEI methodology. </w:t>
      </w:r>
      <w:r w:rsidR="000C32D5">
        <w:rPr>
          <w:rFonts w:asciiTheme="majorBidi" w:hAnsiTheme="majorBidi" w:cstheme="majorBidi"/>
          <w:sz w:val="24"/>
          <w:szCs w:val="24"/>
        </w:rPr>
        <w:t>Also</w:t>
      </w:r>
      <w:r w:rsidR="00C3400E">
        <w:rPr>
          <w:rFonts w:asciiTheme="majorBidi" w:hAnsiTheme="majorBidi" w:cstheme="majorBidi"/>
          <w:sz w:val="24"/>
          <w:szCs w:val="24"/>
        </w:rPr>
        <w:t>,</w:t>
      </w:r>
      <w:r w:rsidR="00A749C8">
        <w:rPr>
          <w:rFonts w:asciiTheme="majorBidi" w:hAnsiTheme="majorBidi" w:cstheme="majorBidi"/>
          <w:sz w:val="24"/>
          <w:szCs w:val="24"/>
        </w:rPr>
        <w:t xml:space="preserve"> unweight a</w:t>
      </w:r>
      <w:r w:rsidR="000342F5">
        <w:rPr>
          <w:rFonts w:asciiTheme="majorBidi" w:hAnsiTheme="majorBidi" w:cstheme="majorBidi"/>
          <w:sz w:val="24"/>
          <w:szCs w:val="24"/>
        </w:rPr>
        <w:t>v</w:t>
      </w:r>
      <w:r w:rsidR="00A749C8">
        <w:rPr>
          <w:rFonts w:asciiTheme="majorBidi" w:hAnsiTheme="majorBidi" w:cstheme="majorBidi"/>
          <w:sz w:val="24"/>
          <w:szCs w:val="24"/>
        </w:rPr>
        <w:t xml:space="preserve">erage CO2 emissions for LDVs   </w:t>
      </w:r>
      <w:r w:rsidR="000342F5">
        <w:rPr>
          <w:rFonts w:asciiTheme="majorBidi" w:hAnsiTheme="majorBidi" w:cstheme="majorBidi"/>
          <w:sz w:val="24"/>
          <w:szCs w:val="24"/>
        </w:rPr>
        <w:t xml:space="preserve">was calculated </w:t>
      </w:r>
      <w:r w:rsidR="00A749C8">
        <w:rPr>
          <w:rFonts w:asciiTheme="majorBidi" w:hAnsiTheme="majorBidi" w:cstheme="majorBidi"/>
          <w:sz w:val="24"/>
          <w:szCs w:val="24"/>
        </w:rPr>
        <w:t xml:space="preserve">for the same years. </w:t>
      </w:r>
      <w:proofErr w:type="gramStart"/>
      <w:r w:rsidR="00A749C8">
        <w:rPr>
          <w:rFonts w:asciiTheme="majorBidi" w:hAnsiTheme="majorBidi" w:cstheme="majorBidi"/>
          <w:sz w:val="24"/>
          <w:szCs w:val="24"/>
        </w:rPr>
        <w:t>The unweight</w:t>
      </w:r>
      <w:proofErr w:type="gramEnd"/>
      <w:r w:rsidR="00A749C8">
        <w:rPr>
          <w:rFonts w:asciiTheme="majorBidi" w:hAnsiTheme="majorBidi" w:cstheme="majorBidi"/>
          <w:sz w:val="24"/>
          <w:szCs w:val="24"/>
        </w:rPr>
        <w:t xml:space="preserve"> average </w:t>
      </w:r>
      <w:r w:rsidR="00FA4D08">
        <w:rPr>
          <w:rFonts w:asciiTheme="majorBidi" w:hAnsiTheme="majorBidi" w:cstheme="majorBidi"/>
          <w:sz w:val="24"/>
          <w:szCs w:val="24"/>
        </w:rPr>
        <w:t>discounts the impact of sales figures for different models</w:t>
      </w:r>
      <w:r w:rsidR="00E019EF">
        <w:rPr>
          <w:rFonts w:asciiTheme="majorBidi" w:hAnsiTheme="majorBidi" w:cstheme="majorBidi"/>
          <w:sz w:val="24"/>
          <w:szCs w:val="24"/>
        </w:rPr>
        <w:t>.</w:t>
      </w:r>
    </w:p>
    <w:p w14:paraId="5D36E353" w14:textId="6A5988E2" w:rsidR="00EA5B67" w:rsidRDefault="002F6A52" w:rsidP="009F5BB8">
      <w:pPr>
        <w:pStyle w:val="Caption"/>
        <w:jc w:val="center"/>
      </w:pPr>
      <w:bookmarkStart w:id="16" w:name="_Toc400532648"/>
      <w:r>
        <w:rPr>
          <w:noProof/>
        </w:rPr>
        <w:drawing>
          <wp:inline distT="0" distB="0" distL="0" distR="0" wp14:anchorId="07E53AC5" wp14:editId="446FF62D">
            <wp:extent cx="3593592" cy="2340864"/>
            <wp:effectExtent l="0" t="0" r="26035" b="2159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A2EF516" w14:textId="27D93DD9" w:rsidR="00562C94" w:rsidRPr="00E019EF" w:rsidRDefault="00573EDC" w:rsidP="00E019EF">
      <w:pPr>
        <w:pStyle w:val="Caption"/>
        <w:jc w:val="center"/>
      </w:pPr>
      <w:r>
        <w:t xml:space="preserve">Figure </w:t>
      </w:r>
      <w:r w:rsidR="005818B3">
        <w:fldChar w:fldCharType="begin"/>
      </w:r>
      <w:r w:rsidR="005818B3">
        <w:instrText xml:space="preserve"> SEQ Figure \* ARABIC </w:instrText>
      </w:r>
      <w:r w:rsidR="005818B3">
        <w:fldChar w:fldCharType="separate"/>
      </w:r>
      <w:r w:rsidR="004D5381">
        <w:rPr>
          <w:noProof/>
        </w:rPr>
        <w:t>4</w:t>
      </w:r>
      <w:r w:rsidR="005818B3">
        <w:rPr>
          <w:noProof/>
        </w:rPr>
        <w:fldChar w:fldCharType="end"/>
      </w:r>
      <w:r>
        <w:t>: Different averages for co2 emissions in Tunisia</w:t>
      </w:r>
      <w:bookmarkEnd w:id="16"/>
    </w:p>
    <w:p w14:paraId="467D03FD" w14:textId="207863AD" w:rsidR="00562C94" w:rsidRDefault="007B657F" w:rsidP="005F619B">
      <w:pPr>
        <w:rPr>
          <w:rFonts w:asciiTheme="majorBidi" w:hAnsiTheme="majorBidi" w:cstheme="majorBidi"/>
          <w:sz w:val="24"/>
          <w:szCs w:val="24"/>
        </w:rPr>
      </w:pPr>
      <w:r>
        <w:rPr>
          <w:rFonts w:asciiTheme="majorBidi" w:hAnsiTheme="majorBidi" w:cstheme="majorBidi"/>
          <w:sz w:val="24"/>
          <w:szCs w:val="24"/>
        </w:rPr>
        <w:t>Petrol LDVs</w:t>
      </w:r>
      <w:r w:rsidR="00DA4146">
        <w:rPr>
          <w:rFonts w:asciiTheme="majorBidi" w:hAnsiTheme="majorBidi" w:cstheme="majorBidi"/>
          <w:sz w:val="24"/>
          <w:szCs w:val="24"/>
        </w:rPr>
        <w:t xml:space="preserve"> weighte</w:t>
      </w:r>
      <w:r w:rsidR="006B3263">
        <w:rPr>
          <w:rFonts w:asciiTheme="majorBidi" w:hAnsiTheme="majorBidi" w:cstheme="majorBidi"/>
          <w:sz w:val="24"/>
          <w:szCs w:val="24"/>
        </w:rPr>
        <w:t xml:space="preserve">d average remained </w:t>
      </w:r>
      <w:r w:rsidR="00DA4146">
        <w:rPr>
          <w:rFonts w:asciiTheme="majorBidi" w:hAnsiTheme="majorBidi" w:cstheme="majorBidi"/>
          <w:sz w:val="24"/>
          <w:szCs w:val="24"/>
        </w:rPr>
        <w:t>steady</w:t>
      </w:r>
      <w:r w:rsidR="00C3400E">
        <w:rPr>
          <w:rFonts w:asciiTheme="majorBidi" w:hAnsiTheme="majorBidi" w:cstheme="majorBidi"/>
          <w:sz w:val="24"/>
          <w:szCs w:val="24"/>
        </w:rPr>
        <w:t xml:space="preserve"> at approximately 134 </w:t>
      </w:r>
      <w:r w:rsidR="00E04F63">
        <w:rPr>
          <w:rFonts w:asciiTheme="majorBidi" w:hAnsiTheme="majorBidi" w:cstheme="majorBidi"/>
          <w:sz w:val="24"/>
          <w:szCs w:val="24"/>
        </w:rPr>
        <w:t>gco2/km</w:t>
      </w:r>
      <w:r w:rsidR="00C3400E">
        <w:rPr>
          <w:rFonts w:asciiTheme="majorBidi" w:hAnsiTheme="majorBidi" w:cstheme="majorBidi"/>
          <w:sz w:val="24"/>
          <w:szCs w:val="24"/>
        </w:rPr>
        <w:t xml:space="preserve"> levels for 2005, 2008 and 2010 then it </w:t>
      </w:r>
      <w:r w:rsidR="000C32D5">
        <w:rPr>
          <w:rFonts w:asciiTheme="majorBidi" w:hAnsiTheme="majorBidi" w:cstheme="majorBidi"/>
          <w:sz w:val="24"/>
          <w:szCs w:val="24"/>
        </w:rPr>
        <w:t xml:space="preserve">declined </w:t>
      </w:r>
      <w:proofErr w:type="gramStart"/>
      <w:r w:rsidR="000C32D5">
        <w:rPr>
          <w:rFonts w:asciiTheme="majorBidi" w:hAnsiTheme="majorBidi" w:cstheme="majorBidi"/>
          <w:sz w:val="24"/>
          <w:szCs w:val="24"/>
        </w:rPr>
        <w:t xml:space="preserve">to 132 </w:t>
      </w:r>
      <w:r w:rsidR="00E04F63">
        <w:rPr>
          <w:rFonts w:asciiTheme="majorBidi" w:hAnsiTheme="majorBidi" w:cstheme="majorBidi"/>
          <w:sz w:val="24"/>
          <w:szCs w:val="24"/>
        </w:rPr>
        <w:t>gco2/km</w:t>
      </w:r>
      <w:proofErr w:type="gramEnd"/>
      <w:r w:rsidR="000C32D5">
        <w:rPr>
          <w:rFonts w:asciiTheme="majorBidi" w:hAnsiTheme="majorBidi" w:cstheme="majorBidi"/>
          <w:sz w:val="24"/>
          <w:szCs w:val="24"/>
        </w:rPr>
        <w:t xml:space="preserve"> in 2012.  </w:t>
      </w:r>
      <w:r w:rsidR="00154E52">
        <w:rPr>
          <w:rFonts w:asciiTheme="majorBidi" w:hAnsiTheme="majorBidi" w:cstheme="majorBidi"/>
          <w:sz w:val="24"/>
          <w:szCs w:val="24"/>
        </w:rPr>
        <w:t>Average CO</w:t>
      </w:r>
      <w:r w:rsidR="00154E52">
        <w:rPr>
          <w:rFonts w:asciiTheme="majorBidi" w:hAnsiTheme="majorBidi" w:cstheme="majorBidi"/>
          <w:sz w:val="24"/>
          <w:szCs w:val="24"/>
          <w:vertAlign w:val="subscript"/>
        </w:rPr>
        <w:t>2</w:t>
      </w:r>
      <w:r w:rsidR="000F64BF">
        <w:rPr>
          <w:rFonts w:asciiTheme="majorBidi" w:hAnsiTheme="majorBidi" w:cstheme="majorBidi"/>
          <w:sz w:val="24"/>
          <w:szCs w:val="24"/>
        </w:rPr>
        <w:t xml:space="preserve"> emissions, on the other hand, remained almost constant for 2005 and 2008 at </w:t>
      </w:r>
      <w:proofErr w:type="gramStart"/>
      <w:r w:rsidR="000F64BF">
        <w:rPr>
          <w:rFonts w:asciiTheme="majorBidi" w:hAnsiTheme="majorBidi" w:cstheme="majorBidi"/>
          <w:sz w:val="24"/>
          <w:szCs w:val="24"/>
        </w:rPr>
        <w:t xml:space="preserve">149.6 </w:t>
      </w:r>
      <w:r w:rsidR="00E04F63">
        <w:rPr>
          <w:rFonts w:asciiTheme="majorBidi" w:hAnsiTheme="majorBidi" w:cstheme="majorBidi"/>
          <w:sz w:val="24"/>
          <w:szCs w:val="24"/>
        </w:rPr>
        <w:t>gco2/km</w:t>
      </w:r>
      <w:proofErr w:type="gramEnd"/>
      <w:r w:rsidR="000F64BF">
        <w:rPr>
          <w:rFonts w:asciiTheme="majorBidi" w:hAnsiTheme="majorBidi" w:cstheme="majorBidi"/>
          <w:sz w:val="24"/>
          <w:szCs w:val="24"/>
        </w:rPr>
        <w:t xml:space="preserve"> and 150 </w:t>
      </w:r>
      <w:r w:rsidR="00E04F63">
        <w:rPr>
          <w:rFonts w:asciiTheme="majorBidi" w:hAnsiTheme="majorBidi" w:cstheme="majorBidi"/>
          <w:sz w:val="24"/>
          <w:szCs w:val="24"/>
        </w:rPr>
        <w:t>gco2/km</w:t>
      </w:r>
      <w:r w:rsidR="000F64BF">
        <w:rPr>
          <w:rFonts w:asciiTheme="majorBidi" w:hAnsiTheme="majorBidi" w:cstheme="majorBidi"/>
          <w:sz w:val="24"/>
          <w:szCs w:val="24"/>
        </w:rPr>
        <w:t>, respectively</w:t>
      </w:r>
      <w:r w:rsidR="002A07DA">
        <w:rPr>
          <w:rFonts w:asciiTheme="majorBidi" w:hAnsiTheme="majorBidi" w:cstheme="majorBidi"/>
          <w:sz w:val="24"/>
          <w:szCs w:val="24"/>
        </w:rPr>
        <w:t>.</w:t>
      </w:r>
      <w:r w:rsidR="006B3263">
        <w:rPr>
          <w:rFonts w:asciiTheme="majorBidi" w:hAnsiTheme="majorBidi" w:cstheme="majorBidi"/>
          <w:sz w:val="24"/>
          <w:szCs w:val="24"/>
        </w:rPr>
        <w:t xml:space="preserve"> It increased </w:t>
      </w:r>
      <w:proofErr w:type="gramStart"/>
      <w:r w:rsidR="006B3263">
        <w:rPr>
          <w:rFonts w:asciiTheme="majorBidi" w:hAnsiTheme="majorBidi" w:cstheme="majorBidi"/>
          <w:sz w:val="24"/>
          <w:szCs w:val="24"/>
        </w:rPr>
        <w:t xml:space="preserve">to 147.2 </w:t>
      </w:r>
      <w:r w:rsidR="00E04F63">
        <w:rPr>
          <w:rFonts w:asciiTheme="majorBidi" w:hAnsiTheme="majorBidi" w:cstheme="majorBidi"/>
          <w:sz w:val="24"/>
          <w:szCs w:val="24"/>
        </w:rPr>
        <w:t>gco2/km</w:t>
      </w:r>
      <w:proofErr w:type="gramEnd"/>
      <w:r w:rsidR="006B3263">
        <w:rPr>
          <w:rFonts w:asciiTheme="majorBidi" w:hAnsiTheme="majorBidi" w:cstheme="majorBidi"/>
          <w:sz w:val="24"/>
          <w:szCs w:val="24"/>
        </w:rPr>
        <w:t xml:space="preserve"> in 2010 then dropped to 145 </w:t>
      </w:r>
      <w:r w:rsidR="00E04F63">
        <w:rPr>
          <w:rFonts w:asciiTheme="majorBidi" w:hAnsiTheme="majorBidi" w:cstheme="majorBidi"/>
          <w:sz w:val="24"/>
          <w:szCs w:val="24"/>
        </w:rPr>
        <w:t>gco2/km</w:t>
      </w:r>
      <w:r w:rsidR="006B3263">
        <w:rPr>
          <w:rFonts w:asciiTheme="majorBidi" w:hAnsiTheme="majorBidi" w:cstheme="majorBidi"/>
          <w:sz w:val="24"/>
          <w:szCs w:val="24"/>
        </w:rPr>
        <w:t xml:space="preserve"> in 2012.</w:t>
      </w:r>
    </w:p>
    <w:p w14:paraId="2295251C" w14:textId="54268845" w:rsidR="00CB7D6F" w:rsidRDefault="007B657F" w:rsidP="000551E2">
      <w:pPr>
        <w:rPr>
          <w:rFonts w:asciiTheme="majorBidi" w:hAnsiTheme="majorBidi" w:cstheme="majorBidi"/>
          <w:sz w:val="24"/>
          <w:szCs w:val="24"/>
        </w:rPr>
      </w:pPr>
      <w:r>
        <w:rPr>
          <w:rFonts w:asciiTheme="majorBidi" w:hAnsiTheme="majorBidi" w:cstheme="majorBidi"/>
          <w:sz w:val="24"/>
          <w:szCs w:val="24"/>
        </w:rPr>
        <w:t>Combined weighted average for petrol &amp; diesel LDVs had always</w:t>
      </w:r>
      <w:r w:rsidR="000551E2">
        <w:rPr>
          <w:rFonts w:asciiTheme="majorBidi" w:hAnsiTheme="majorBidi" w:cstheme="majorBidi"/>
          <w:sz w:val="24"/>
          <w:szCs w:val="24"/>
        </w:rPr>
        <w:t xml:space="preserve"> been</w:t>
      </w:r>
      <w:r>
        <w:rPr>
          <w:rFonts w:asciiTheme="majorBidi" w:hAnsiTheme="majorBidi" w:cstheme="majorBidi"/>
          <w:sz w:val="24"/>
          <w:szCs w:val="24"/>
        </w:rPr>
        <w:t xml:space="preserve"> higher for the same period</w:t>
      </w:r>
      <w:r w:rsidR="000551E2">
        <w:rPr>
          <w:rFonts w:asciiTheme="majorBidi" w:hAnsiTheme="majorBidi" w:cstheme="majorBidi"/>
          <w:sz w:val="24"/>
          <w:szCs w:val="24"/>
        </w:rPr>
        <w:t xml:space="preserve"> though it </w:t>
      </w:r>
      <w:r w:rsidR="00D43477">
        <w:rPr>
          <w:rFonts w:asciiTheme="majorBidi" w:hAnsiTheme="majorBidi" w:cstheme="majorBidi"/>
          <w:sz w:val="24"/>
          <w:szCs w:val="24"/>
        </w:rPr>
        <w:t xml:space="preserve">followed the same pattern </w:t>
      </w:r>
      <w:r w:rsidR="000551E2">
        <w:rPr>
          <w:rFonts w:asciiTheme="majorBidi" w:hAnsiTheme="majorBidi" w:cstheme="majorBidi"/>
          <w:sz w:val="24"/>
          <w:szCs w:val="24"/>
        </w:rPr>
        <w:t>of petrol LDVs</w:t>
      </w:r>
      <w:r w:rsidR="004F570A">
        <w:rPr>
          <w:rFonts w:asciiTheme="majorBidi" w:hAnsiTheme="majorBidi" w:cstheme="majorBidi"/>
          <w:sz w:val="24"/>
          <w:szCs w:val="24"/>
        </w:rPr>
        <w:t>.</w:t>
      </w:r>
      <w:r w:rsidR="00F1456D">
        <w:rPr>
          <w:rFonts w:asciiTheme="majorBidi" w:hAnsiTheme="majorBidi" w:cstheme="majorBidi"/>
          <w:sz w:val="24"/>
          <w:szCs w:val="24"/>
        </w:rPr>
        <w:t xml:space="preserve"> This is due to the impact of CO</w:t>
      </w:r>
      <w:r w:rsidR="00154E52">
        <w:rPr>
          <w:rFonts w:asciiTheme="majorBidi" w:hAnsiTheme="majorBidi" w:cstheme="majorBidi"/>
          <w:sz w:val="24"/>
          <w:szCs w:val="24"/>
          <w:vertAlign w:val="subscript"/>
        </w:rPr>
        <w:t>2</w:t>
      </w:r>
      <w:r w:rsidR="004F570A">
        <w:rPr>
          <w:rFonts w:asciiTheme="majorBidi" w:hAnsiTheme="majorBidi" w:cstheme="majorBidi"/>
          <w:sz w:val="24"/>
          <w:szCs w:val="24"/>
        </w:rPr>
        <w:t xml:space="preserve"> emissions from dies</w:t>
      </w:r>
      <w:r w:rsidR="00446E22">
        <w:rPr>
          <w:rFonts w:asciiTheme="majorBidi" w:hAnsiTheme="majorBidi" w:cstheme="majorBidi"/>
          <w:sz w:val="24"/>
          <w:szCs w:val="24"/>
        </w:rPr>
        <w:t>el LDVs as shown in Figure 5</w:t>
      </w:r>
      <w:r w:rsidR="004F570A">
        <w:rPr>
          <w:rFonts w:asciiTheme="majorBidi" w:hAnsiTheme="majorBidi" w:cstheme="majorBidi"/>
          <w:sz w:val="24"/>
          <w:szCs w:val="24"/>
        </w:rPr>
        <w:t>.</w:t>
      </w:r>
      <w:r w:rsidR="00C903B2">
        <w:rPr>
          <w:rFonts w:asciiTheme="majorBidi" w:hAnsiTheme="majorBidi" w:cstheme="majorBidi"/>
          <w:sz w:val="24"/>
          <w:szCs w:val="24"/>
        </w:rPr>
        <w:t xml:space="preserve"> </w:t>
      </w:r>
    </w:p>
    <w:p w14:paraId="6546A21F" w14:textId="77777777" w:rsidR="00E019EF" w:rsidRDefault="00E019EF" w:rsidP="000551E2">
      <w:pPr>
        <w:rPr>
          <w:rFonts w:asciiTheme="majorBidi" w:hAnsiTheme="majorBidi" w:cstheme="majorBidi"/>
          <w:sz w:val="24"/>
          <w:szCs w:val="24"/>
        </w:rPr>
      </w:pPr>
    </w:p>
    <w:p w14:paraId="7CE6B778" w14:textId="1BC44FA0" w:rsidR="00154E52" w:rsidRDefault="002F6A52" w:rsidP="004F55B8">
      <w:pPr>
        <w:keepNext/>
        <w:jc w:val="center"/>
      </w:pPr>
      <w:r>
        <w:rPr>
          <w:noProof/>
        </w:rPr>
        <w:drawing>
          <wp:inline distT="0" distB="0" distL="0" distR="0" wp14:anchorId="692846CD" wp14:editId="06F851AA">
            <wp:extent cx="3611880" cy="2295144"/>
            <wp:effectExtent l="0" t="0" r="762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1880" cy="2295144"/>
                    </a:xfrm>
                    <a:prstGeom prst="rect">
                      <a:avLst/>
                    </a:prstGeom>
                    <a:noFill/>
                  </pic:spPr>
                </pic:pic>
              </a:graphicData>
            </a:graphic>
          </wp:inline>
        </w:drawing>
      </w:r>
    </w:p>
    <w:p w14:paraId="3A198303" w14:textId="187E8C5F" w:rsidR="006127DD" w:rsidRPr="00154E52" w:rsidRDefault="00154E52" w:rsidP="004F55B8">
      <w:pPr>
        <w:pStyle w:val="Caption"/>
        <w:jc w:val="center"/>
        <w:rPr>
          <w:rFonts w:asciiTheme="majorBidi" w:hAnsiTheme="majorBidi" w:cstheme="majorBidi"/>
          <w:sz w:val="24"/>
          <w:szCs w:val="24"/>
        </w:rPr>
      </w:pPr>
      <w:bookmarkStart w:id="17" w:name="_Toc400532649"/>
      <w:r>
        <w:t xml:space="preserve">Figure </w:t>
      </w:r>
      <w:r w:rsidR="005818B3">
        <w:fldChar w:fldCharType="begin"/>
      </w:r>
      <w:r w:rsidR="005818B3">
        <w:instrText xml:space="preserve"> SEQ Figure \* ARABIC </w:instrText>
      </w:r>
      <w:r w:rsidR="005818B3">
        <w:fldChar w:fldCharType="separate"/>
      </w:r>
      <w:r w:rsidR="004D5381">
        <w:rPr>
          <w:noProof/>
        </w:rPr>
        <w:t>5</w:t>
      </w:r>
      <w:r w:rsidR="005818B3">
        <w:rPr>
          <w:noProof/>
        </w:rPr>
        <w:fldChar w:fldCharType="end"/>
      </w:r>
      <w:r>
        <w:t>:</w:t>
      </w:r>
      <w:r w:rsidR="006F31D7">
        <w:t xml:space="preserve"> Different averages for</w:t>
      </w:r>
      <w:r>
        <w:t xml:space="preserve"> diesel CO</w:t>
      </w:r>
      <w:r>
        <w:rPr>
          <w:vertAlign w:val="subscript"/>
        </w:rPr>
        <w:t>2</w:t>
      </w:r>
      <w:r>
        <w:t xml:space="preserve"> emissions in Tunisia</w:t>
      </w:r>
      <w:bookmarkEnd w:id="17"/>
    </w:p>
    <w:p w14:paraId="7FC3CCD9" w14:textId="3114F514" w:rsidR="00530CB4" w:rsidRDefault="006D5DA5" w:rsidP="00850A49">
      <w:pPr>
        <w:rPr>
          <w:rFonts w:asciiTheme="majorBidi" w:hAnsiTheme="majorBidi" w:cstheme="majorBidi"/>
          <w:sz w:val="24"/>
          <w:szCs w:val="24"/>
        </w:rPr>
      </w:pPr>
      <w:r>
        <w:rPr>
          <w:rFonts w:asciiTheme="majorBidi" w:hAnsiTheme="majorBidi" w:cstheme="majorBidi"/>
          <w:sz w:val="24"/>
          <w:szCs w:val="24"/>
        </w:rPr>
        <w:lastRenderedPageBreak/>
        <w:t>Weighted a</w:t>
      </w:r>
      <w:r w:rsidR="00F1456D">
        <w:rPr>
          <w:rFonts w:asciiTheme="majorBidi" w:hAnsiTheme="majorBidi" w:cstheme="majorBidi"/>
          <w:sz w:val="24"/>
          <w:szCs w:val="24"/>
        </w:rPr>
        <w:t xml:space="preserve">verage </w:t>
      </w:r>
      <w:r w:rsidR="00F1456D" w:rsidRPr="00F1456D">
        <w:rPr>
          <w:rFonts w:asciiTheme="majorBidi" w:hAnsiTheme="majorBidi" w:cstheme="majorBidi"/>
          <w:sz w:val="24"/>
          <w:szCs w:val="24"/>
        </w:rPr>
        <w:t>CO</w:t>
      </w:r>
      <w:r w:rsidR="00154E52">
        <w:rPr>
          <w:rFonts w:asciiTheme="majorBidi" w:hAnsiTheme="majorBidi" w:cstheme="majorBidi"/>
          <w:sz w:val="24"/>
          <w:szCs w:val="24"/>
          <w:vertAlign w:val="subscript"/>
        </w:rPr>
        <w:t>2</w:t>
      </w:r>
      <w:r w:rsidR="00DC2BCA">
        <w:rPr>
          <w:rFonts w:asciiTheme="majorBidi" w:hAnsiTheme="majorBidi" w:cstheme="majorBidi"/>
          <w:sz w:val="24"/>
          <w:szCs w:val="24"/>
        </w:rPr>
        <w:t xml:space="preserve"> emissions for diesel LDVs had remained always higher than</w:t>
      </w:r>
      <w:r w:rsidR="001740EC">
        <w:rPr>
          <w:rFonts w:asciiTheme="majorBidi" w:hAnsiTheme="majorBidi" w:cstheme="majorBidi"/>
          <w:sz w:val="24"/>
          <w:szCs w:val="24"/>
        </w:rPr>
        <w:t xml:space="preserve"> petrol ones at 147 </w:t>
      </w:r>
      <w:r w:rsidR="00E04F63">
        <w:rPr>
          <w:rFonts w:asciiTheme="majorBidi" w:hAnsiTheme="majorBidi" w:cstheme="majorBidi"/>
          <w:sz w:val="24"/>
          <w:szCs w:val="24"/>
        </w:rPr>
        <w:t>gco2/km</w:t>
      </w:r>
      <w:r w:rsidR="001740EC">
        <w:rPr>
          <w:rFonts w:asciiTheme="majorBidi" w:hAnsiTheme="majorBidi" w:cstheme="majorBidi"/>
          <w:sz w:val="24"/>
          <w:szCs w:val="24"/>
        </w:rPr>
        <w:t xml:space="preserve"> and</w:t>
      </w:r>
      <w:r>
        <w:rPr>
          <w:rFonts w:asciiTheme="majorBidi" w:hAnsiTheme="majorBidi" w:cstheme="majorBidi"/>
          <w:sz w:val="24"/>
          <w:szCs w:val="24"/>
        </w:rPr>
        <w:t xml:space="preserve"> 141 </w:t>
      </w:r>
      <w:r w:rsidR="00E04F63">
        <w:rPr>
          <w:rFonts w:asciiTheme="majorBidi" w:hAnsiTheme="majorBidi" w:cstheme="majorBidi"/>
          <w:sz w:val="24"/>
          <w:szCs w:val="24"/>
        </w:rPr>
        <w:t>gco2/km</w:t>
      </w:r>
      <w:r>
        <w:rPr>
          <w:rFonts w:asciiTheme="majorBidi" w:hAnsiTheme="majorBidi" w:cstheme="majorBidi"/>
          <w:sz w:val="24"/>
          <w:szCs w:val="24"/>
        </w:rPr>
        <w:t xml:space="preserve"> for the years 2005 and 2008</w:t>
      </w:r>
      <w:r w:rsidR="00C95C81">
        <w:rPr>
          <w:rFonts w:asciiTheme="majorBidi" w:hAnsiTheme="majorBidi" w:cstheme="majorBidi"/>
          <w:sz w:val="24"/>
          <w:szCs w:val="24"/>
        </w:rPr>
        <w:t>, respectively</w:t>
      </w:r>
      <w:r>
        <w:rPr>
          <w:rFonts w:asciiTheme="majorBidi" w:hAnsiTheme="majorBidi" w:cstheme="majorBidi"/>
          <w:sz w:val="24"/>
          <w:szCs w:val="24"/>
        </w:rPr>
        <w:t>. In 2010</w:t>
      </w:r>
      <w:r w:rsidR="006F1AB8">
        <w:rPr>
          <w:rFonts w:asciiTheme="majorBidi" w:hAnsiTheme="majorBidi" w:cstheme="majorBidi"/>
          <w:sz w:val="24"/>
          <w:szCs w:val="24"/>
        </w:rPr>
        <w:t xml:space="preserve"> they</w:t>
      </w:r>
      <w:r w:rsidR="00850A49">
        <w:rPr>
          <w:rFonts w:asciiTheme="majorBidi" w:hAnsiTheme="majorBidi" w:cstheme="majorBidi"/>
          <w:sz w:val="24"/>
          <w:szCs w:val="24"/>
        </w:rPr>
        <w:t xml:space="preserve"> increased again</w:t>
      </w:r>
      <w:r>
        <w:rPr>
          <w:rFonts w:asciiTheme="majorBidi" w:hAnsiTheme="majorBidi" w:cstheme="majorBidi"/>
          <w:sz w:val="24"/>
          <w:szCs w:val="24"/>
        </w:rPr>
        <w:t xml:space="preserve"> to</w:t>
      </w:r>
      <w:r w:rsidR="00154E52">
        <w:rPr>
          <w:rFonts w:asciiTheme="majorBidi" w:hAnsiTheme="majorBidi" w:cstheme="majorBidi"/>
          <w:sz w:val="24"/>
          <w:szCs w:val="24"/>
        </w:rPr>
        <w:t xml:space="preserve"> </w:t>
      </w:r>
      <w:r w:rsidR="00850A49">
        <w:rPr>
          <w:rFonts w:asciiTheme="majorBidi" w:hAnsiTheme="majorBidi" w:cstheme="majorBidi"/>
          <w:sz w:val="24"/>
          <w:szCs w:val="24"/>
        </w:rPr>
        <w:t>147</w:t>
      </w:r>
      <w:r>
        <w:rPr>
          <w:rFonts w:asciiTheme="majorBidi" w:hAnsiTheme="majorBidi" w:cstheme="majorBidi"/>
          <w:sz w:val="24"/>
          <w:szCs w:val="24"/>
        </w:rPr>
        <w:t xml:space="preserve"> </w:t>
      </w:r>
      <w:r w:rsidR="00E04F63">
        <w:rPr>
          <w:rFonts w:asciiTheme="majorBidi" w:hAnsiTheme="majorBidi" w:cstheme="majorBidi"/>
          <w:sz w:val="24"/>
          <w:szCs w:val="24"/>
        </w:rPr>
        <w:t>gco2/km</w:t>
      </w:r>
      <w:r w:rsidR="001B4226">
        <w:rPr>
          <w:rFonts w:asciiTheme="majorBidi" w:hAnsiTheme="majorBidi" w:cstheme="majorBidi"/>
          <w:sz w:val="24"/>
          <w:szCs w:val="24"/>
        </w:rPr>
        <w:t>,</w:t>
      </w:r>
      <w:r w:rsidR="00154E52">
        <w:rPr>
          <w:rFonts w:asciiTheme="majorBidi" w:hAnsiTheme="majorBidi" w:cstheme="majorBidi"/>
          <w:sz w:val="24"/>
          <w:szCs w:val="24"/>
        </w:rPr>
        <w:t xml:space="preserve"> only to drop</w:t>
      </w:r>
      <w:r w:rsidR="006B3263">
        <w:rPr>
          <w:rFonts w:asciiTheme="majorBidi" w:hAnsiTheme="majorBidi" w:cstheme="majorBidi"/>
          <w:sz w:val="24"/>
          <w:szCs w:val="24"/>
        </w:rPr>
        <w:t xml:space="preserve"> in 2012 to 145 </w:t>
      </w:r>
      <w:r w:rsidR="00E04F63">
        <w:rPr>
          <w:rFonts w:asciiTheme="majorBidi" w:hAnsiTheme="majorBidi" w:cstheme="majorBidi"/>
          <w:sz w:val="24"/>
          <w:szCs w:val="24"/>
        </w:rPr>
        <w:t>gco2/km</w:t>
      </w:r>
      <w:r>
        <w:rPr>
          <w:rFonts w:asciiTheme="majorBidi" w:hAnsiTheme="majorBidi" w:cstheme="majorBidi"/>
          <w:sz w:val="24"/>
          <w:szCs w:val="24"/>
        </w:rPr>
        <w:t>.</w:t>
      </w:r>
      <w:r w:rsidR="00530CB4">
        <w:rPr>
          <w:rFonts w:asciiTheme="majorBidi" w:hAnsiTheme="majorBidi" w:cstheme="majorBidi"/>
          <w:sz w:val="24"/>
          <w:szCs w:val="24"/>
        </w:rPr>
        <w:t xml:space="preserve"> </w:t>
      </w:r>
    </w:p>
    <w:p w14:paraId="4EBD64E2" w14:textId="2A3282E2" w:rsidR="00CB7D6F" w:rsidRPr="00CB7D6F" w:rsidRDefault="00154E52" w:rsidP="008A2811">
      <w:pPr>
        <w:rPr>
          <w:rFonts w:asciiTheme="majorBidi" w:hAnsiTheme="majorBidi" w:cstheme="majorBidi"/>
          <w:sz w:val="24"/>
          <w:szCs w:val="24"/>
        </w:rPr>
      </w:pPr>
      <w:r>
        <w:rPr>
          <w:rFonts w:asciiTheme="majorBidi" w:hAnsiTheme="majorBidi" w:cstheme="majorBidi"/>
          <w:sz w:val="24"/>
          <w:szCs w:val="24"/>
        </w:rPr>
        <w:t>Average diesel LDV CO</w:t>
      </w:r>
      <w:r>
        <w:rPr>
          <w:rFonts w:asciiTheme="majorBidi" w:hAnsiTheme="majorBidi" w:cstheme="majorBidi"/>
          <w:sz w:val="24"/>
          <w:szCs w:val="24"/>
          <w:vertAlign w:val="subscript"/>
        </w:rPr>
        <w:t>2</w:t>
      </w:r>
      <w:r w:rsidR="005F2863">
        <w:rPr>
          <w:rFonts w:asciiTheme="majorBidi" w:hAnsiTheme="majorBidi" w:cstheme="majorBidi"/>
          <w:sz w:val="24"/>
          <w:szCs w:val="24"/>
        </w:rPr>
        <w:t xml:space="preserve"> emissions</w:t>
      </w:r>
      <w:r w:rsidR="00DC2BCA">
        <w:rPr>
          <w:rFonts w:asciiTheme="majorBidi" w:hAnsiTheme="majorBidi" w:cstheme="majorBidi"/>
          <w:sz w:val="24"/>
          <w:szCs w:val="24"/>
        </w:rPr>
        <w:t xml:space="preserve"> </w:t>
      </w:r>
      <w:r w:rsidR="005F2863">
        <w:rPr>
          <w:rFonts w:asciiTheme="majorBidi" w:hAnsiTheme="majorBidi" w:cstheme="majorBidi"/>
          <w:sz w:val="24"/>
          <w:szCs w:val="24"/>
        </w:rPr>
        <w:t xml:space="preserve">were lower than petrol’s for the years 2005 and 2008 at 147 </w:t>
      </w:r>
      <w:r w:rsidR="00E04F63">
        <w:rPr>
          <w:rFonts w:asciiTheme="majorBidi" w:hAnsiTheme="majorBidi" w:cstheme="majorBidi"/>
          <w:sz w:val="24"/>
          <w:szCs w:val="24"/>
        </w:rPr>
        <w:t>gco2/km</w:t>
      </w:r>
      <w:r w:rsidR="005F2863">
        <w:rPr>
          <w:rFonts w:asciiTheme="majorBidi" w:hAnsiTheme="majorBidi" w:cstheme="majorBidi"/>
          <w:sz w:val="24"/>
          <w:szCs w:val="24"/>
        </w:rPr>
        <w:t xml:space="preserve"> and 148 </w:t>
      </w:r>
      <w:r w:rsidR="00E04F63">
        <w:rPr>
          <w:rFonts w:asciiTheme="majorBidi" w:hAnsiTheme="majorBidi" w:cstheme="majorBidi"/>
          <w:sz w:val="24"/>
          <w:szCs w:val="24"/>
        </w:rPr>
        <w:t>gco2/km</w:t>
      </w:r>
      <w:r w:rsidR="005F2863">
        <w:rPr>
          <w:rFonts w:asciiTheme="majorBidi" w:hAnsiTheme="majorBidi" w:cstheme="majorBidi"/>
          <w:sz w:val="24"/>
          <w:szCs w:val="24"/>
        </w:rPr>
        <w:t xml:space="preserve">, respectively. </w:t>
      </w:r>
      <w:r w:rsidR="000B65C0">
        <w:rPr>
          <w:rFonts w:asciiTheme="majorBidi" w:hAnsiTheme="majorBidi" w:cstheme="majorBidi"/>
          <w:sz w:val="24"/>
          <w:szCs w:val="24"/>
        </w:rPr>
        <w:t>However, i</w:t>
      </w:r>
      <w:r w:rsidR="005F2863">
        <w:rPr>
          <w:rFonts w:asciiTheme="majorBidi" w:hAnsiTheme="majorBidi" w:cstheme="majorBidi"/>
          <w:sz w:val="24"/>
          <w:szCs w:val="24"/>
        </w:rPr>
        <w:t>n 2010 and 2012 they ex</w:t>
      </w:r>
      <w:r w:rsidR="000B65C0">
        <w:rPr>
          <w:rFonts w:asciiTheme="majorBidi" w:hAnsiTheme="majorBidi" w:cstheme="majorBidi"/>
          <w:sz w:val="24"/>
          <w:szCs w:val="24"/>
        </w:rPr>
        <w:t xml:space="preserve">ceeded petrol’s with 149 </w:t>
      </w:r>
      <w:r w:rsidR="00E04F63">
        <w:rPr>
          <w:rFonts w:asciiTheme="majorBidi" w:hAnsiTheme="majorBidi" w:cstheme="majorBidi"/>
          <w:sz w:val="24"/>
          <w:szCs w:val="24"/>
        </w:rPr>
        <w:t>gco2/km</w:t>
      </w:r>
      <w:r w:rsidR="000B65C0">
        <w:rPr>
          <w:rFonts w:asciiTheme="majorBidi" w:hAnsiTheme="majorBidi" w:cstheme="majorBidi"/>
          <w:sz w:val="24"/>
          <w:szCs w:val="24"/>
        </w:rPr>
        <w:t xml:space="preserve"> in 2010 and 147 in 2012.</w:t>
      </w:r>
      <w:r>
        <w:rPr>
          <w:rFonts w:asciiTheme="majorBidi" w:hAnsiTheme="majorBidi" w:cstheme="majorBidi"/>
          <w:sz w:val="24"/>
          <w:szCs w:val="24"/>
        </w:rPr>
        <w:t xml:space="preserve"> Average CO</w:t>
      </w:r>
      <w:r>
        <w:rPr>
          <w:rFonts w:asciiTheme="majorBidi" w:hAnsiTheme="majorBidi" w:cstheme="majorBidi"/>
          <w:sz w:val="24"/>
          <w:szCs w:val="24"/>
          <w:vertAlign w:val="subscript"/>
        </w:rPr>
        <w:t>2</w:t>
      </w:r>
      <w:r w:rsidR="003250AE">
        <w:rPr>
          <w:rFonts w:asciiTheme="majorBidi" w:hAnsiTheme="majorBidi" w:cstheme="majorBidi"/>
          <w:sz w:val="24"/>
          <w:szCs w:val="24"/>
        </w:rPr>
        <w:t xml:space="preserve"> emissions were higher than weighted ones</w:t>
      </w:r>
      <w:r w:rsidR="00EE30AD">
        <w:rPr>
          <w:rFonts w:asciiTheme="majorBidi" w:hAnsiTheme="majorBidi" w:cstheme="majorBidi"/>
          <w:sz w:val="24"/>
          <w:szCs w:val="24"/>
        </w:rPr>
        <w:t xml:space="preserve"> for</w:t>
      </w:r>
      <w:r w:rsidR="008A2811">
        <w:rPr>
          <w:rFonts w:asciiTheme="majorBidi" w:hAnsiTheme="majorBidi" w:cstheme="majorBidi"/>
          <w:sz w:val="24"/>
          <w:szCs w:val="24"/>
        </w:rPr>
        <w:t xml:space="preserve"> all the years</w:t>
      </w:r>
      <w:r>
        <w:rPr>
          <w:rFonts w:asciiTheme="majorBidi" w:hAnsiTheme="majorBidi" w:cstheme="majorBidi"/>
          <w:sz w:val="24"/>
          <w:szCs w:val="24"/>
        </w:rPr>
        <w:t xml:space="preserve">. </w:t>
      </w:r>
    </w:p>
    <w:p w14:paraId="6C71E089" w14:textId="77777777" w:rsidR="00F1456D" w:rsidRDefault="00F1456D" w:rsidP="008A2811">
      <w:pPr>
        <w:rPr>
          <w:rFonts w:asciiTheme="majorBidi" w:hAnsiTheme="majorBidi" w:cstheme="majorBidi"/>
          <w:b/>
          <w:bCs/>
          <w:i/>
          <w:iCs/>
          <w:sz w:val="24"/>
          <w:szCs w:val="24"/>
        </w:rPr>
      </w:pPr>
      <w:r w:rsidRPr="00387932">
        <w:rPr>
          <w:rFonts w:asciiTheme="majorBidi" w:hAnsiTheme="majorBidi" w:cstheme="majorBidi"/>
          <w:b/>
          <w:bCs/>
          <w:i/>
          <w:iCs/>
          <w:sz w:val="24"/>
          <w:szCs w:val="24"/>
        </w:rPr>
        <w:t>Fuel Consumption Trends</w:t>
      </w:r>
    </w:p>
    <w:p w14:paraId="67BFDC22" w14:textId="77777777" w:rsidR="00B34081" w:rsidRDefault="008A2811" w:rsidP="005F2863">
      <w:pPr>
        <w:rPr>
          <w:rFonts w:asciiTheme="majorBidi" w:hAnsiTheme="majorBidi" w:cstheme="majorBidi"/>
          <w:b/>
          <w:bCs/>
          <w:sz w:val="24"/>
          <w:szCs w:val="24"/>
        </w:rPr>
      </w:pPr>
      <w:r>
        <w:rPr>
          <w:rFonts w:asciiTheme="majorBidi" w:hAnsiTheme="majorBidi" w:cstheme="majorBidi"/>
          <w:sz w:val="24"/>
          <w:szCs w:val="24"/>
        </w:rPr>
        <w:t>Figure 6</w:t>
      </w:r>
      <w:r w:rsidR="00B34081" w:rsidRPr="00B34081">
        <w:rPr>
          <w:rFonts w:asciiTheme="majorBidi" w:hAnsiTheme="majorBidi" w:cstheme="majorBidi"/>
          <w:sz w:val="24"/>
          <w:szCs w:val="24"/>
        </w:rPr>
        <w:t xml:space="preserve"> shows</w:t>
      </w:r>
      <w:r w:rsidR="00B34081">
        <w:rPr>
          <w:rFonts w:asciiTheme="majorBidi" w:hAnsiTheme="majorBidi" w:cstheme="majorBidi"/>
          <w:sz w:val="24"/>
          <w:szCs w:val="24"/>
        </w:rPr>
        <w:t xml:space="preserve"> </w:t>
      </w:r>
      <w:r w:rsidR="00B34081" w:rsidRPr="00B34081">
        <w:rPr>
          <w:rFonts w:asciiTheme="majorBidi" w:hAnsiTheme="majorBidi" w:cstheme="majorBidi"/>
          <w:sz w:val="24"/>
          <w:szCs w:val="24"/>
        </w:rPr>
        <w:t>fuel consumption (L/100km) trends</w:t>
      </w:r>
      <w:r w:rsidR="00B34081">
        <w:rPr>
          <w:rFonts w:asciiTheme="majorBidi" w:hAnsiTheme="majorBidi" w:cstheme="majorBidi"/>
          <w:sz w:val="24"/>
          <w:szCs w:val="24"/>
        </w:rPr>
        <w:t xml:space="preserve"> for petrol LDVs </w:t>
      </w:r>
      <w:r w:rsidR="00B34081" w:rsidRPr="00B34081">
        <w:rPr>
          <w:rFonts w:asciiTheme="majorBidi" w:hAnsiTheme="majorBidi" w:cstheme="majorBidi"/>
          <w:sz w:val="24"/>
          <w:szCs w:val="24"/>
        </w:rPr>
        <w:t>in Tunisia for the years 2005, 2008, 2010 and 2012</w:t>
      </w:r>
      <w:r w:rsidR="00B34081">
        <w:rPr>
          <w:rFonts w:asciiTheme="majorBidi" w:hAnsiTheme="majorBidi" w:cstheme="majorBidi"/>
          <w:b/>
          <w:bCs/>
          <w:sz w:val="24"/>
          <w:szCs w:val="24"/>
        </w:rPr>
        <w:t>.</w:t>
      </w:r>
    </w:p>
    <w:p w14:paraId="68ADFADF" w14:textId="77777777" w:rsidR="00F615EB" w:rsidRDefault="00F615EB" w:rsidP="005F2863">
      <w:pPr>
        <w:rPr>
          <w:rFonts w:asciiTheme="majorBidi" w:hAnsiTheme="majorBidi" w:cstheme="majorBidi"/>
          <w:b/>
          <w:bCs/>
          <w:sz w:val="24"/>
          <w:szCs w:val="24"/>
        </w:rPr>
      </w:pPr>
    </w:p>
    <w:p w14:paraId="466CE1A3" w14:textId="327793C6" w:rsidR="004D5381" w:rsidRDefault="00D236D5" w:rsidP="004F55B8">
      <w:pPr>
        <w:keepNext/>
        <w:jc w:val="center"/>
      </w:pPr>
      <w:r>
        <w:rPr>
          <w:noProof/>
        </w:rPr>
        <w:drawing>
          <wp:inline distT="0" distB="0" distL="0" distR="0" wp14:anchorId="69C2C627" wp14:editId="5CAD3FC8">
            <wp:extent cx="3593592" cy="2295144"/>
            <wp:effectExtent l="0" t="0" r="6985"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93592" cy="2295144"/>
                    </a:xfrm>
                    <a:prstGeom prst="rect">
                      <a:avLst/>
                    </a:prstGeom>
                    <a:noFill/>
                  </pic:spPr>
                </pic:pic>
              </a:graphicData>
            </a:graphic>
          </wp:inline>
        </w:drawing>
      </w:r>
    </w:p>
    <w:p w14:paraId="5A190986" w14:textId="3623A20D" w:rsidR="00B34081" w:rsidRDefault="004D5381" w:rsidP="004F55B8">
      <w:pPr>
        <w:pStyle w:val="Caption"/>
        <w:jc w:val="center"/>
        <w:rPr>
          <w:rFonts w:asciiTheme="majorBidi" w:hAnsiTheme="majorBidi" w:cstheme="majorBidi"/>
          <w:b w:val="0"/>
          <w:bCs w:val="0"/>
          <w:sz w:val="24"/>
          <w:szCs w:val="24"/>
        </w:rPr>
      </w:pPr>
      <w:bookmarkStart w:id="18" w:name="_Toc400532650"/>
      <w:r>
        <w:t xml:space="preserve">Figure </w:t>
      </w:r>
      <w:r w:rsidR="005818B3">
        <w:fldChar w:fldCharType="begin"/>
      </w:r>
      <w:r w:rsidR="005818B3">
        <w:instrText xml:space="preserve"> SEQ Figure \* ARABIC </w:instrText>
      </w:r>
      <w:r w:rsidR="005818B3">
        <w:fldChar w:fldCharType="separate"/>
      </w:r>
      <w:r>
        <w:rPr>
          <w:noProof/>
        </w:rPr>
        <w:t>6</w:t>
      </w:r>
      <w:r w:rsidR="005818B3">
        <w:rPr>
          <w:noProof/>
        </w:rPr>
        <w:fldChar w:fldCharType="end"/>
      </w:r>
      <w:r>
        <w:t>: Petrol fuel consumption for LDVs in Tunis</w:t>
      </w:r>
      <w:r w:rsidR="00D862B8">
        <w:t>i</w:t>
      </w:r>
      <w:r>
        <w:t>a</w:t>
      </w:r>
      <w:bookmarkEnd w:id="18"/>
    </w:p>
    <w:p w14:paraId="49FD43E2" w14:textId="4FEAF989" w:rsidR="00AC7640" w:rsidRDefault="00EA2275" w:rsidP="005F2863">
      <w:pPr>
        <w:rPr>
          <w:rFonts w:asciiTheme="majorBidi" w:hAnsiTheme="majorBidi" w:cstheme="majorBidi"/>
          <w:sz w:val="24"/>
          <w:szCs w:val="24"/>
        </w:rPr>
      </w:pPr>
      <w:r>
        <w:rPr>
          <w:rFonts w:asciiTheme="majorBidi" w:hAnsiTheme="majorBidi" w:cstheme="majorBidi"/>
          <w:sz w:val="24"/>
          <w:szCs w:val="24"/>
        </w:rPr>
        <w:t xml:space="preserve">The figures for </w:t>
      </w:r>
      <w:r w:rsidR="00B34081" w:rsidRPr="00EA2275">
        <w:rPr>
          <w:rFonts w:asciiTheme="majorBidi" w:hAnsiTheme="majorBidi" w:cstheme="majorBidi"/>
          <w:sz w:val="24"/>
          <w:szCs w:val="24"/>
        </w:rPr>
        <w:t>weighted average fuel consumption</w:t>
      </w:r>
      <w:r>
        <w:rPr>
          <w:rFonts w:asciiTheme="majorBidi" w:hAnsiTheme="majorBidi" w:cstheme="majorBidi"/>
          <w:sz w:val="24"/>
          <w:szCs w:val="24"/>
        </w:rPr>
        <w:t xml:space="preserve"> remained approximately steady for 2005, 2008, 2010 and 2012 at 5.2, 5.3, 5.2, </w:t>
      </w:r>
      <w:r w:rsidR="002771DA">
        <w:rPr>
          <w:rFonts w:asciiTheme="majorBidi" w:hAnsiTheme="majorBidi" w:cstheme="majorBidi"/>
          <w:sz w:val="24"/>
          <w:szCs w:val="24"/>
        </w:rPr>
        <w:t>and 5.1</w:t>
      </w:r>
      <w:r>
        <w:rPr>
          <w:rFonts w:asciiTheme="majorBidi" w:hAnsiTheme="majorBidi" w:cstheme="majorBidi"/>
          <w:sz w:val="24"/>
          <w:szCs w:val="24"/>
        </w:rPr>
        <w:t>, respectively.</w:t>
      </w:r>
      <w:r w:rsidR="002771DA">
        <w:rPr>
          <w:rFonts w:asciiTheme="majorBidi" w:hAnsiTheme="majorBidi" w:cstheme="majorBidi"/>
          <w:sz w:val="24"/>
          <w:szCs w:val="24"/>
        </w:rPr>
        <w:t xml:space="preserve">  Figure 7 shows </w:t>
      </w:r>
      <w:r w:rsidR="00AC7640">
        <w:rPr>
          <w:rFonts w:asciiTheme="majorBidi" w:hAnsiTheme="majorBidi" w:cstheme="majorBidi"/>
          <w:sz w:val="24"/>
          <w:szCs w:val="24"/>
        </w:rPr>
        <w:t>the aforementioned trend for diesel vehicles.</w:t>
      </w:r>
    </w:p>
    <w:p w14:paraId="0B41718E" w14:textId="77777777" w:rsidR="00F615EB" w:rsidRDefault="00F615EB" w:rsidP="005F2863">
      <w:pPr>
        <w:rPr>
          <w:rFonts w:asciiTheme="majorBidi" w:hAnsiTheme="majorBidi" w:cstheme="majorBidi"/>
          <w:sz w:val="24"/>
          <w:szCs w:val="24"/>
        </w:rPr>
      </w:pPr>
    </w:p>
    <w:p w14:paraId="14221EAE" w14:textId="5C5B747D" w:rsidR="004D5381" w:rsidRDefault="00A7258F" w:rsidP="004F55B8">
      <w:pPr>
        <w:keepNext/>
        <w:jc w:val="center"/>
      </w:pPr>
      <w:r>
        <w:rPr>
          <w:noProof/>
        </w:rPr>
        <w:lastRenderedPageBreak/>
        <w:drawing>
          <wp:inline distT="0" distB="0" distL="0" distR="0" wp14:anchorId="5F056491" wp14:editId="01A6BCA5">
            <wp:extent cx="3575304" cy="2295144"/>
            <wp:effectExtent l="0" t="0" r="635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75304" cy="2295144"/>
                    </a:xfrm>
                    <a:prstGeom prst="rect">
                      <a:avLst/>
                    </a:prstGeom>
                    <a:noFill/>
                  </pic:spPr>
                </pic:pic>
              </a:graphicData>
            </a:graphic>
          </wp:inline>
        </w:drawing>
      </w:r>
    </w:p>
    <w:p w14:paraId="6269781E" w14:textId="05F3E4AF" w:rsidR="00F615EB" w:rsidRDefault="004D5381" w:rsidP="00F615EB">
      <w:pPr>
        <w:pStyle w:val="Caption"/>
        <w:jc w:val="center"/>
        <w:rPr>
          <w:rFonts w:asciiTheme="majorBidi" w:hAnsiTheme="majorBidi" w:cstheme="majorBidi"/>
          <w:sz w:val="24"/>
          <w:szCs w:val="24"/>
        </w:rPr>
      </w:pPr>
      <w:bookmarkStart w:id="19" w:name="_Toc400532651"/>
      <w:r>
        <w:t xml:space="preserve">Figure </w:t>
      </w:r>
      <w:r w:rsidR="005818B3">
        <w:fldChar w:fldCharType="begin"/>
      </w:r>
      <w:r w:rsidR="005818B3">
        <w:instrText xml:space="preserve"> SEQ Figure \* ARABIC </w:instrText>
      </w:r>
      <w:r w:rsidR="005818B3">
        <w:fldChar w:fldCharType="separate"/>
      </w:r>
      <w:r>
        <w:rPr>
          <w:noProof/>
        </w:rPr>
        <w:t>7</w:t>
      </w:r>
      <w:r w:rsidR="005818B3">
        <w:rPr>
          <w:noProof/>
        </w:rPr>
        <w:fldChar w:fldCharType="end"/>
      </w:r>
      <w:r>
        <w:t>: Diesel fuel consumption for LDVs in Tunisia</w:t>
      </w:r>
      <w:bookmarkEnd w:id="19"/>
    </w:p>
    <w:p w14:paraId="77BAC21E" w14:textId="2D4C4B5B" w:rsidR="003412DB" w:rsidRPr="003412DB" w:rsidRDefault="004A1222" w:rsidP="003412DB">
      <w:pPr>
        <w:rPr>
          <w:rFonts w:asciiTheme="majorBidi" w:hAnsiTheme="majorBidi" w:cstheme="majorBidi"/>
          <w:sz w:val="24"/>
          <w:szCs w:val="24"/>
        </w:rPr>
      </w:pPr>
      <w:r w:rsidRPr="004A1222">
        <w:rPr>
          <w:rFonts w:asciiTheme="majorBidi" w:hAnsiTheme="majorBidi" w:cstheme="majorBidi"/>
          <w:sz w:val="24"/>
          <w:szCs w:val="24"/>
        </w:rPr>
        <w:t xml:space="preserve">Weighted average fuel economy </w:t>
      </w:r>
      <w:r w:rsidR="00F53693">
        <w:rPr>
          <w:rFonts w:asciiTheme="majorBidi" w:hAnsiTheme="majorBidi" w:cstheme="majorBidi"/>
          <w:sz w:val="24"/>
          <w:szCs w:val="24"/>
        </w:rPr>
        <w:t xml:space="preserve">for diesel LDVs </w:t>
      </w:r>
      <w:r w:rsidR="000D1FD7">
        <w:rPr>
          <w:rFonts w:asciiTheme="majorBidi" w:hAnsiTheme="majorBidi" w:cstheme="majorBidi"/>
          <w:sz w:val="24"/>
          <w:szCs w:val="24"/>
        </w:rPr>
        <w:t>had</w:t>
      </w:r>
      <w:r w:rsidR="00F53693">
        <w:rPr>
          <w:rFonts w:asciiTheme="majorBidi" w:hAnsiTheme="majorBidi" w:cstheme="majorBidi"/>
          <w:sz w:val="24"/>
          <w:szCs w:val="24"/>
        </w:rPr>
        <w:t xml:space="preserve"> remained constant at almost 5 </w:t>
      </w:r>
      <w:r w:rsidR="00E04F63">
        <w:rPr>
          <w:rFonts w:asciiTheme="majorBidi" w:hAnsiTheme="majorBidi" w:cstheme="majorBidi"/>
          <w:sz w:val="24"/>
          <w:szCs w:val="24"/>
        </w:rPr>
        <w:t>gco2/km</w:t>
      </w:r>
      <w:r w:rsidR="00233CFB">
        <w:rPr>
          <w:rFonts w:asciiTheme="majorBidi" w:hAnsiTheme="majorBidi" w:cstheme="majorBidi"/>
          <w:sz w:val="24"/>
          <w:szCs w:val="24"/>
        </w:rPr>
        <w:t xml:space="preserve"> </w:t>
      </w:r>
      <w:r w:rsidR="00F53693">
        <w:rPr>
          <w:rFonts w:asciiTheme="majorBidi" w:hAnsiTheme="majorBidi" w:cstheme="majorBidi"/>
          <w:sz w:val="24"/>
          <w:szCs w:val="24"/>
        </w:rPr>
        <w:t>for 2008,</w:t>
      </w:r>
      <w:r w:rsidR="000D1FD7">
        <w:rPr>
          <w:rFonts w:asciiTheme="majorBidi" w:hAnsiTheme="majorBidi" w:cstheme="majorBidi"/>
          <w:sz w:val="24"/>
          <w:szCs w:val="24"/>
        </w:rPr>
        <w:t xml:space="preserve"> 2010</w:t>
      </w:r>
      <w:r w:rsidR="002771DA">
        <w:rPr>
          <w:rFonts w:asciiTheme="majorBidi" w:hAnsiTheme="majorBidi" w:cstheme="majorBidi"/>
          <w:sz w:val="24"/>
          <w:szCs w:val="24"/>
        </w:rPr>
        <w:t xml:space="preserve"> </w:t>
      </w:r>
      <w:r w:rsidR="000D1FD7">
        <w:rPr>
          <w:rFonts w:asciiTheme="majorBidi" w:hAnsiTheme="majorBidi" w:cstheme="majorBidi"/>
          <w:sz w:val="24"/>
          <w:szCs w:val="24"/>
        </w:rPr>
        <w:t xml:space="preserve">and 2012. In 2005, </w:t>
      </w:r>
      <w:r w:rsidR="00F53693">
        <w:rPr>
          <w:rFonts w:asciiTheme="majorBidi" w:hAnsiTheme="majorBidi" w:cstheme="majorBidi"/>
          <w:sz w:val="24"/>
          <w:szCs w:val="24"/>
        </w:rPr>
        <w:t xml:space="preserve">the weighted average was bit higher at 5.3 </w:t>
      </w:r>
      <w:r w:rsidR="00E04F63">
        <w:rPr>
          <w:rFonts w:asciiTheme="majorBidi" w:hAnsiTheme="majorBidi" w:cstheme="majorBidi"/>
          <w:sz w:val="24"/>
          <w:szCs w:val="24"/>
        </w:rPr>
        <w:t>gco2/km</w:t>
      </w:r>
      <w:r w:rsidR="00F53693">
        <w:rPr>
          <w:rFonts w:asciiTheme="majorBidi" w:hAnsiTheme="majorBidi" w:cstheme="majorBidi"/>
          <w:sz w:val="24"/>
          <w:szCs w:val="24"/>
        </w:rPr>
        <w:t>.</w:t>
      </w:r>
      <w:r w:rsidR="003412DB">
        <w:rPr>
          <w:rFonts w:asciiTheme="majorBidi" w:hAnsiTheme="majorBidi" w:cstheme="majorBidi"/>
          <w:sz w:val="24"/>
          <w:szCs w:val="24"/>
        </w:rPr>
        <w:t xml:space="preserve"> </w:t>
      </w:r>
      <w:r w:rsidR="002771DA">
        <w:rPr>
          <w:rFonts w:asciiTheme="majorBidi" w:hAnsiTheme="majorBidi" w:cstheme="majorBidi"/>
          <w:sz w:val="24"/>
          <w:szCs w:val="24"/>
        </w:rPr>
        <w:t>Table 2</w:t>
      </w:r>
      <w:r w:rsidR="00864947">
        <w:rPr>
          <w:rFonts w:asciiTheme="majorBidi" w:hAnsiTheme="majorBidi" w:cstheme="majorBidi"/>
          <w:sz w:val="24"/>
          <w:szCs w:val="24"/>
        </w:rPr>
        <w:t xml:space="preserve"> shows the average engine size</w:t>
      </w:r>
      <w:r w:rsidR="00900124">
        <w:rPr>
          <w:rFonts w:asciiTheme="majorBidi" w:hAnsiTheme="majorBidi" w:cstheme="majorBidi"/>
          <w:sz w:val="24"/>
          <w:szCs w:val="24"/>
        </w:rPr>
        <w:t xml:space="preserve"> in liters</w:t>
      </w:r>
      <w:r w:rsidR="00864947">
        <w:rPr>
          <w:rFonts w:asciiTheme="majorBidi" w:hAnsiTheme="majorBidi" w:cstheme="majorBidi"/>
          <w:sz w:val="24"/>
          <w:szCs w:val="24"/>
        </w:rPr>
        <w:t xml:space="preserve"> for petrol and diesel LDVs for the years 2005, 2008, 2010 and 2012.</w:t>
      </w:r>
    </w:p>
    <w:p w14:paraId="2ED4125D" w14:textId="52B5FF05" w:rsidR="002771DA" w:rsidRPr="003412DB" w:rsidRDefault="002771DA" w:rsidP="003412DB">
      <w:pPr>
        <w:pStyle w:val="Caption"/>
        <w:jc w:val="center"/>
      </w:pPr>
      <w:r>
        <w:t xml:space="preserve">Table </w:t>
      </w:r>
      <w:r w:rsidR="005818B3">
        <w:fldChar w:fldCharType="begin"/>
      </w:r>
      <w:r w:rsidR="005818B3">
        <w:instrText xml:space="preserve"> SEQ Table \* ARABIC </w:instrText>
      </w:r>
      <w:r w:rsidR="005818B3">
        <w:fldChar w:fldCharType="separate"/>
      </w:r>
      <w:r w:rsidR="00DB028D">
        <w:t>2</w:t>
      </w:r>
      <w:r w:rsidR="005818B3">
        <w:fldChar w:fldCharType="end"/>
      </w:r>
      <w:r>
        <w:t>: Average engine sizes for diesel and petrol LDVs in Tunisia</w:t>
      </w:r>
    </w:p>
    <w:tbl>
      <w:tblPr>
        <w:tblStyle w:val="TableGrid"/>
        <w:tblW w:w="0" w:type="auto"/>
        <w:jc w:val="center"/>
        <w:tblLook w:val="04A0" w:firstRow="1" w:lastRow="0" w:firstColumn="1" w:lastColumn="0" w:noHBand="0" w:noVBand="1"/>
      </w:tblPr>
      <w:tblGrid>
        <w:gridCol w:w="3200"/>
        <w:gridCol w:w="1276"/>
        <w:gridCol w:w="1275"/>
        <w:gridCol w:w="1134"/>
        <w:gridCol w:w="1163"/>
      </w:tblGrid>
      <w:tr w:rsidR="00E019EF" w:rsidRPr="00900124" w14:paraId="7E46C979" w14:textId="77777777" w:rsidTr="00E019EF">
        <w:trPr>
          <w:jc w:val="center"/>
        </w:trPr>
        <w:tc>
          <w:tcPr>
            <w:tcW w:w="3200" w:type="dxa"/>
            <w:shd w:val="clear" w:color="auto" w:fill="808080" w:themeFill="background1" w:themeFillShade="80"/>
            <w:vAlign w:val="center"/>
          </w:tcPr>
          <w:p w14:paraId="18D13E6C" w14:textId="77777777" w:rsidR="00900124" w:rsidRPr="00900124" w:rsidRDefault="00900124" w:rsidP="00900124">
            <w:pPr>
              <w:jc w:val="center"/>
              <w:rPr>
                <w:rFonts w:asciiTheme="majorBidi" w:hAnsiTheme="majorBidi" w:cstheme="majorBidi"/>
                <w:b/>
                <w:bCs/>
                <w:sz w:val="24"/>
                <w:szCs w:val="24"/>
              </w:rPr>
            </w:pPr>
            <w:r w:rsidRPr="00900124">
              <w:rPr>
                <w:rFonts w:asciiTheme="majorBidi" w:hAnsiTheme="majorBidi" w:cstheme="majorBidi"/>
                <w:b/>
                <w:bCs/>
                <w:sz w:val="24"/>
                <w:szCs w:val="24"/>
              </w:rPr>
              <w:t>Year</w:t>
            </w:r>
          </w:p>
        </w:tc>
        <w:tc>
          <w:tcPr>
            <w:tcW w:w="1276" w:type="dxa"/>
            <w:shd w:val="clear" w:color="auto" w:fill="808080" w:themeFill="background1" w:themeFillShade="80"/>
            <w:vAlign w:val="center"/>
          </w:tcPr>
          <w:p w14:paraId="2E547766" w14:textId="77777777" w:rsidR="00900124" w:rsidRPr="00900124" w:rsidRDefault="00900124" w:rsidP="00900124">
            <w:pPr>
              <w:jc w:val="center"/>
              <w:rPr>
                <w:rFonts w:asciiTheme="majorBidi" w:hAnsiTheme="majorBidi" w:cstheme="majorBidi"/>
                <w:b/>
                <w:bCs/>
                <w:sz w:val="24"/>
                <w:szCs w:val="24"/>
              </w:rPr>
            </w:pPr>
            <w:r w:rsidRPr="00900124">
              <w:rPr>
                <w:rFonts w:asciiTheme="majorBidi" w:hAnsiTheme="majorBidi" w:cstheme="majorBidi"/>
                <w:b/>
                <w:bCs/>
                <w:sz w:val="24"/>
                <w:szCs w:val="24"/>
              </w:rPr>
              <w:t>2005</w:t>
            </w:r>
          </w:p>
        </w:tc>
        <w:tc>
          <w:tcPr>
            <w:tcW w:w="1275" w:type="dxa"/>
            <w:shd w:val="clear" w:color="auto" w:fill="808080" w:themeFill="background1" w:themeFillShade="80"/>
            <w:vAlign w:val="center"/>
          </w:tcPr>
          <w:p w14:paraId="79754670" w14:textId="77777777" w:rsidR="00900124" w:rsidRPr="00900124" w:rsidRDefault="00900124" w:rsidP="00900124">
            <w:pPr>
              <w:jc w:val="center"/>
              <w:rPr>
                <w:rFonts w:asciiTheme="majorBidi" w:hAnsiTheme="majorBidi" w:cstheme="majorBidi"/>
                <w:b/>
                <w:bCs/>
                <w:sz w:val="24"/>
                <w:szCs w:val="24"/>
              </w:rPr>
            </w:pPr>
            <w:r w:rsidRPr="00900124">
              <w:rPr>
                <w:rFonts w:asciiTheme="majorBidi" w:hAnsiTheme="majorBidi" w:cstheme="majorBidi"/>
                <w:b/>
                <w:bCs/>
                <w:sz w:val="24"/>
                <w:szCs w:val="24"/>
              </w:rPr>
              <w:t>2008</w:t>
            </w:r>
          </w:p>
        </w:tc>
        <w:tc>
          <w:tcPr>
            <w:tcW w:w="1134" w:type="dxa"/>
            <w:shd w:val="clear" w:color="auto" w:fill="808080" w:themeFill="background1" w:themeFillShade="80"/>
            <w:vAlign w:val="center"/>
          </w:tcPr>
          <w:p w14:paraId="231C3458" w14:textId="77777777" w:rsidR="00900124" w:rsidRPr="00900124" w:rsidRDefault="00900124" w:rsidP="00900124">
            <w:pPr>
              <w:jc w:val="center"/>
              <w:rPr>
                <w:rFonts w:asciiTheme="majorBidi" w:hAnsiTheme="majorBidi" w:cstheme="majorBidi"/>
                <w:b/>
                <w:bCs/>
                <w:sz w:val="24"/>
                <w:szCs w:val="24"/>
              </w:rPr>
            </w:pPr>
            <w:r w:rsidRPr="00900124">
              <w:rPr>
                <w:rFonts w:asciiTheme="majorBidi" w:hAnsiTheme="majorBidi" w:cstheme="majorBidi"/>
                <w:b/>
                <w:bCs/>
                <w:sz w:val="24"/>
                <w:szCs w:val="24"/>
              </w:rPr>
              <w:t>2010</w:t>
            </w:r>
          </w:p>
        </w:tc>
        <w:tc>
          <w:tcPr>
            <w:tcW w:w="1163" w:type="dxa"/>
            <w:shd w:val="clear" w:color="auto" w:fill="808080" w:themeFill="background1" w:themeFillShade="80"/>
            <w:vAlign w:val="center"/>
          </w:tcPr>
          <w:p w14:paraId="0C10DEFA" w14:textId="77777777" w:rsidR="00900124" w:rsidRPr="00900124" w:rsidRDefault="00900124" w:rsidP="00900124">
            <w:pPr>
              <w:jc w:val="center"/>
              <w:rPr>
                <w:rFonts w:asciiTheme="majorBidi" w:hAnsiTheme="majorBidi" w:cstheme="majorBidi"/>
                <w:b/>
                <w:bCs/>
                <w:sz w:val="24"/>
                <w:szCs w:val="24"/>
              </w:rPr>
            </w:pPr>
            <w:r w:rsidRPr="00900124">
              <w:rPr>
                <w:rFonts w:asciiTheme="majorBidi" w:hAnsiTheme="majorBidi" w:cstheme="majorBidi"/>
                <w:b/>
                <w:bCs/>
                <w:sz w:val="24"/>
                <w:szCs w:val="24"/>
              </w:rPr>
              <w:t>2012</w:t>
            </w:r>
          </w:p>
        </w:tc>
      </w:tr>
      <w:tr w:rsidR="00E019EF" w14:paraId="094A6314" w14:textId="77777777" w:rsidTr="00E019EF">
        <w:trPr>
          <w:jc w:val="center"/>
        </w:trPr>
        <w:tc>
          <w:tcPr>
            <w:tcW w:w="3200" w:type="dxa"/>
            <w:vAlign w:val="center"/>
          </w:tcPr>
          <w:p w14:paraId="7CAC310C" w14:textId="749FA52F" w:rsidR="00900124" w:rsidRPr="00900124" w:rsidRDefault="00900124" w:rsidP="00E019EF">
            <w:pPr>
              <w:jc w:val="left"/>
              <w:rPr>
                <w:rFonts w:asciiTheme="majorBidi" w:hAnsiTheme="majorBidi" w:cstheme="majorBidi"/>
                <w:b/>
                <w:bCs/>
                <w:sz w:val="24"/>
                <w:szCs w:val="24"/>
              </w:rPr>
            </w:pPr>
            <w:r w:rsidRPr="00900124">
              <w:rPr>
                <w:rFonts w:asciiTheme="majorBidi" w:hAnsiTheme="majorBidi" w:cstheme="majorBidi"/>
                <w:b/>
                <w:bCs/>
                <w:sz w:val="24"/>
                <w:szCs w:val="24"/>
              </w:rPr>
              <w:t>Average engine size</w:t>
            </w:r>
            <w:r w:rsidR="00A7258F">
              <w:rPr>
                <w:rFonts w:asciiTheme="majorBidi" w:hAnsiTheme="majorBidi" w:cstheme="majorBidi"/>
                <w:b/>
                <w:bCs/>
                <w:sz w:val="24"/>
                <w:szCs w:val="24"/>
              </w:rPr>
              <w:t xml:space="preserve"> in liters</w:t>
            </w:r>
            <w:r w:rsidRPr="00900124">
              <w:rPr>
                <w:rFonts w:asciiTheme="majorBidi" w:hAnsiTheme="majorBidi" w:cstheme="majorBidi"/>
                <w:b/>
                <w:bCs/>
                <w:sz w:val="24"/>
                <w:szCs w:val="24"/>
              </w:rPr>
              <w:t xml:space="preserve"> (petrol)</w:t>
            </w:r>
          </w:p>
        </w:tc>
        <w:tc>
          <w:tcPr>
            <w:tcW w:w="1276" w:type="dxa"/>
            <w:vAlign w:val="center"/>
          </w:tcPr>
          <w:p w14:paraId="74E29091" w14:textId="77777777" w:rsidR="00900124" w:rsidRDefault="00900124" w:rsidP="00E019EF">
            <w:pPr>
              <w:jc w:val="left"/>
              <w:rPr>
                <w:rFonts w:asciiTheme="majorBidi" w:hAnsiTheme="majorBidi" w:cstheme="majorBidi"/>
                <w:sz w:val="24"/>
                <w:szCs w:val="24"/>
              </w:rPr>
            </w:pPr>
            <w:r>
              <w:rPr>
                <w:rFonts w:asciiTheme="majorBidi" w:hAnsiTheme="majorBidi" w:cstheme="majorBidi"/>
                <w:sz w:val="24"/>
                <w:szCs w:val="24"/>
              </w:rPr>
              <w:t>1.4</w:t>
            </w:r>
          </w:p>
        </w:tc>
        <w:tc>
          <w:tcPr>
            <w:tcW w:w="1275" w:type="dxa"/>
            <w:vAlign w:val="center"/>
          </w:tcPr>
          <w:p w14:paraId="32D10A94" w14:textId="77777777" w:rsidR="00900124" w:rsidRDefault="00900124" w:rsidP="00E019EF">
            <w:pPr>
              <w:jc w:val="left"/>
              <w:rPr>
                <w:rFonts w:asciiTheme="majorBidi" w:hAnsiTheme="majorBidi" w:cstheme="majorBidi"/>
                <w:sz w:val="24"/>
                <w:szCs w:val="24"/>
              </w:rPr>
            </w:pPr>
            <w:r>
              <w:rPr>
                <w:rFonts w:asciiTheme="majorBidi" w:hAnsiTheme="majorBidi" w:cstheme="majorBidi"/>
                <w:sz w:val="24"/>
                <w:szCs w:val="24"/>
              </w:rPr>
              <w:t>1.4</w:t>
            </w:r>
          </w:p>
        </w:tc>
        <w:tc>
          <w:tcPr>
            <w:tcW w:w="1134" w:type="dxa"/>
            <w:vAlign w:val="center"/>
          </w:tcPr>
          <w:p w14:paraId="188FAC01" w14:textId="77777777" w:rsidR="00900124" w:rsidRDefault="00900124" w:rsidP="00E019EF">
            <w:pPr>
              <w:jc w:val="left"/>
              <w:rPr>
                <w:rFonts w:asciiTheme="majorBidi" w:hAnsiTheme="majorBidi" w:cstheme="majorBidi"/>
                <w:sz w:val="24"/>
                <w:szCs w:val="24"/>
              </w:rPr>
            </w:pPr>
            <w:r>
              <w:rPr>
                <w:rFonts w:asciiTheme="majorBidi" w:hAnsiTheme="majorBidi" w:cstheme="majorBidi"/>
                <w:sz w:val="24"/>
                <w:szCs w:val="24"/>
              </w:rPr>
              <w:t>1.4</w:t>
            </w:r>
          </w:p>
        </w:tc>
        <w:tc>
          <w:tcPr>
            <w:tcW w:w="1163" w:type="dxa"/>
            <w:vAlign w:val="center"/>
          </w:tcPr>
          <w:p w14:paraId="5AC66CD7" w14:textId="77777777" w:rsidR="00900124" w:rsidRDefault="00900124" w:rsidP="00E019EF">
            <w:pPr>
              <w:jc w:val="left"/>
              <w:rPr>
                <w:rFonts w:asciiTheme="majorBidi" w:hAnsiTheme="majorBidi" w:cstheme="majorBidi"/>
                <w:sz w:val="24"/>
                <w:szCs w:val="24"/>
              </w:rPr>
            </w:pPr>
            <w:r>
              <w:rPr>
                <w:rFonts w:asciiTheme="majorBidi" w:hAnsiTheme="majorBidi" w:cstheme="majorBidi"/>
                <w:sz w:val="24"/>
                <w:szCs w:val="24"/>
              </w:rPr>
              <w:t>1.4</w:t>
            </w:r>
          </w:p>
        </w:tc>
      </w:tr>
      <w:tr w:rsidR="00E019EF" w14:paraId="5EFEF06F" w14:textId="77777777" w:rsidTr="00E019EF">
        <w:trPr>
          <w:jc w:val="center"/>
        </w:trPr>
        <w:tc>
          <w:tcPr>
            <w:tcW w:w="3200" w:type="dxa"/>
            <w:vAlign w:val="center"/>
          </w:tcPr>
          <w:p w14:paraId="05C7AA1F" w14:textId="2B90F277" w:rsidR="00900124" w:rsidRPr="00900124" w:rsidRDefault="00900124" w:rsidP="00E019EF">
            <w:pPr>
              <w:jc w:val="left"/>
              <w:rPr>
                <w:rFonts w:asciiTheme="majorBidi" w:hAnsiTheme="majorBidi" w:cstheme="majorBidi"/>
                <w:b/>
                <w:bCs/>
                <w:sz w:val="24"/>
                <w:szCs w:val="24"/>
              </w:rPr>
            </w:pPr>
            <w:r w:rsidRPr="00900124">
              <w:rPr>
                <w:rFonts w:asciiTheme="majorBidi" w:hAnsiTheme="majorBidi" w:cstheme="majorBidi"/>
                <w:b/>
                <w:bCs/>
                <w:sz w:val="24"/>
                <w:szCs w:val="24"/>
              </w:rPr>
              <w:t xml:space="preserve">Average engine size </w:t>
            </w:r>
            <w:r w:rsidR="00A7258F">
              <w:rPr>
                <w:rFonts w:asciiTheme="majorBidi" w:hAnsiTheme="majorBidi" w:cstheme="majorBidi"/>
                <w:b/>
                <w:bCs/>
                <w:sz w:val="24"/>
                <w:szCs w:val="24"/>
              </w:rPr>
              <w:t xml:space="preserve"> in liters</w:t>
            </w:r>
            <w:r w:rsidRPr="00900124">
              <w:rPr>
                <w:rFonts w:asciiTheme="majorBidi" w:hAnsiTheme="majorBidi" w:cstheme="majorBidi"/>
                <w:b/>
                <w:bCs/>
                <w:sz w:val="24"/>
                <w:szCs w:val="24"/>
              </w:rPr>
              <w:t>(diesel)</w:t>
            </w:r>
          </w:p>
        </w:tc>
        <w:tc>
          <w:tcPr>
            <w:tcW w:w="1276" w:type="dxa"/>
            <w:vAlign w:val="center"/>
          </w:tcPr>
          <w:p w14:paraId="57D60F0C" w14:textId="77777777" w:rsidR="00900124" w:rsidRDefault="00900124" w:rsidP="00E019EF">
            <w:pPr>
              <w:jc w:val="left"/>
              <w:rPr>
                <w:rFonts w:asciiTheme="majorBidi" w:hAnsiTheme="majorBidi" w:cstheme="majorBidi"/>
                <w:sz w:val="24"/>
                <w:szCs w:val="24"/>
              </w:rPr>
            </w:pPr>
            <w:r>
              <w:rPr>
                <w:rFonts w:asciiTheme="majorBidi" w:hAnsiTheme="majorBidi" w:cstheme="majorBidi"/>
                <w:sz w:val="24"/>
                <w:szCs w:val="24"/>
              </w:rPr>
              <w:t>1.9</w:t>
            </w:r>
          </w:p>
        </w:tc>
        <w:tc>
          <w:tcPr>
            <w:tcW w:w="1275" w:type="dxa"/>
            <w:vAlign w:val="center"/>
          </w:tcPr>
          <w:p w14:paraId="4A0C2A82" w14:textId="77777777" w:rsidR="00900124" w:rsidRDefault="00900124" w:rsidP="00E019EF">
            <w:pPr>
              <w:jc w:val="left"/>
              <w:rPr>
                <w:rFonts w:asciiTheme="majorBidi" w:hAnsiTheme="majorBidi" w:cstheme="majorBidi"/>
                <w:sz w:val="24"/>
                <w:szCs w:val="24"/>
              </w:rPr>
            </w:pPr>
            <w:r>
              <w:rPr>
                <w:rFonts w:asciiTheme="majorBidi" w:hAnsiTheme="majorBidi" w:cstheme="majorBidi"/>
                <w:sz w:val="24"/>
                <w:szCs w:val="24"/>
              </w:rPr>
              <w:t>1.9</w:t>
            </w:r>
          </w:p>
        </w:tc>
        <w:tc>
          <w:tcPr>
            <w:tcW w:w="1134" w:type="dxa"/>
            <w:vAlign w:val="center"/>
          </w:tcPr>
          <w:p w14:paraId="4FC78D53" w14:textId="77777777" w:rsidR="00900124" w:rsidRDefault="00900124" w:rsidP="00E019EF">
            <w:pPr>
              <w:jc w:val="left"/>
              <w:rPr>
                <w:rFonts w:asciiTheme="majorBidi" w:hAnsiTheme="majorBidi" w:cstheme="majorBidi"/>
                <w:sz w:val="24"/>
                <w:szCs w:val="24"/>
              </w:rPr>
            </w:pPr>
            <w:r>
              <w:rPr>
                <w:rFonts w:asciiTheme="majorBidi" w:hAnsiTheme="majorBidi" w:cstheme="majorBidi"/>
                <w:sz w:val="24"/>
                <w:szCs w:val="24"/>
              </w:rPr>
              <w:t>2</w:t>
            </w:r>
          </w:p>
        </w:tc>
        <w:tc>
          <w:tcPr>
            <w:tcW w:w="1163" w:type="dxa"/>
            <w:vAlign w:val="center"/>
          </w:tcPr>
          <w:p w14:paraId="358589A9" w14:textId="77777777" w:rsidR="00900124" w:rsidRDefault="00900124" w:rsidP="00E019EF">
            <w:pPr>
              <w:jc w:val="left"/>
              <w:rPr>
                <w:rFonts w:asciiTheme="majorBidi" w:hAnsiTheme="majorBidi" w:cstheme="majorBidi"/>
                <w:sz w:val="24"/>
                <w:szCs w:val="24"/>
              </w:rPr>
            </w:pPr>
            <w:r>
              <w:rPr>
                <w:rFonts w:asciiTheme="majorBidi" w:hAnsiTheme="majorBidi" w:cstheme="majorBidi"/>
                <w:sz w:val="24"/>
                <w:szCs w:val="24"/>
              </w:rPr>
              <w:t>2</w:t>
            </w:r>
          </w:p>
        </w:tc>
      </w:tr>
      <w:tr w:rsidR="00E019EF" w14:paraId="3A0FBC9A" w14:textId="77777777" w:rsidTr="00E019EF">
        <w:trPr>
          <w:jc w:val="center"/>
        </w:trPr>
        <w:tc>
          <w:tcPr>
            <w:tcW w:w="3200" w:type="dxa"/>
            <w:vAlign w:val="center"/>
          </w:tcPr>
          <w:p w14:paraId="755ABC92" w14:textId="72B27DF1" w:rsidR="00900124" w:rsidRPr="00900124" w:rsidRDefault="00900124" w:rsidP="00E019EF">
            <w:pPr>
              <w:jc w:val="left"/>
              <w:rPr>
                <w:rFonts w:asciiTheme="majorBidi" w:hAnsiTheme="majorBidi" w:cstheme="majorBidi"/>
                <w:b/>
                <w:bCs/>
                <w:sz w:val="24"/>
                <w:szCs w:val="24"/>
              </w:rPr>
            </w:pPr>
            <w:r w:rsidRPr="00900124">
              <w:rPr>
                <w:rFonts w:asciiTheme="majorBidi" w:hAnsiTheme="majorBidi" w:cstheme="majorBidi"/>
                <w:b/>
                <w:bCs/>
                <w:sz w:val="24"/>
                <w:szCs w:val="24"/>
              </w:rPr>
              <w:t>Mode engine size</w:t>
            </w:r>
            <w:r w:rsidR="00A7258F">
              <w:rPr>
                <w:rFonts w:asciiTheme="majorBidi" w:hAnsiTheme="majorBidi" w:cstheme="majorBidi"/>
                <w:b/>
                <w:bCs/>
                <w:sz w:val="24"/>
                <w:szCs w:val="24"/>
              </w:rPr>
              <w:t xml:space="preserve"> in liters</w:t>
            </w:r>
            <w:r w:rsidRPr="00900124">
              <w:rPr>
                <w:rFonts w:asciiTheme="majorBidi" w:hAnsiTheme="majorBidi" w:cstheme="majorBidi"/>
                <w:b/>
                <w:bCs/>
                <w:sz w:val="24"/>
                <w:szCs w:val="24"/>
              </w:rPr>
              <w:t xml:space="preserve"> (petrol)</w:t>
            </w:r>
          </w:p>
        </w:tc>
        <w:tc>
          <w:tcPr>
            <w:tcW w:w="1276" w:type="dxa"/>
            <w:vAlign w:val="center"/>
          </w:tcPr>
          <w:p w14:paraId="35011C9C" w14:textId="77777777" w:rsidR="00900124" w:rsidRDefault="00900124" w:rsidP="00E019EF">
            <w:pPr>
              <w:jc w:val="left"/>
              <w:rPr>
                <w:rFonts w:asciiTheme="majorBidi" w:hAnsiTheme="majorBidi" w:cstheme="majorBidi"/>
                <w:sz w:val="24"/>
                <w:szCs w:val="24"/>
              </w:rPr>
            </w:pPr>
            <w:r>
              <w:rPr>
                <w:rFonts w:asciiTheme="majorBidi" w:hAnsiTheme="majorBidi" w:cstheme="majorBidi"/>
                <w:sz w:val="24"/>
                <w:szCs w:val="24"/>
              </w:rPr>
              <w:t>1.2</w:t>
            </w:r>
          </w:p>
        </w:tc>
        <w:tc>
          <w:tcPr>
            <w:tcW w:w="1275" w:type="dxa"/>
            <w:vAlign w:val="center"/>
          </w:tcPr>
          <w:p w14:paraId="06B351FC" w14:textId="77777777" w:rsidR="00900124" w:rsidRDefault="00900124" w:rsidP="00E019EF">
            <w:pPr>
              <w:jc w:val="left"/>
              <w:rPr>
                <w:rFonts w:asciiTheme="majorBidi" w:hAnsiTheme="majorBidi" w:cstheme="majorBidi"/>
                <w:sz w:val="24"/>
                <w:szCs w:val="24"/>
              </w:rPr>
            </w:pPr>
            <w:r>
              <w:rPr>
                <w:rFonts w:asciiTheme="majorBidi" w:hAnsiTheme="majorBidi" w:cstheme="majorBidi"/>
                <w:sz w:val="24"/>
                <w:szCs w:val="24"/>
              </w:rPr>
              <w:t>1.4</w:t>
            </w:r>
          </w:p>
        </w:tc>
        <w:tc>
          <w:tcPr>
            <w:tcW w:w="1134" w:type="dxa"/>
            <w:vAlign w:val="center"/>
          </w:tcPr>
          <w:p w14:paraId="285CE4B3" w14:textId="77777777" w:rsidR="00900124" w:rsidRDefault="00900124" w:rsidP="00E019EF">
            <w:pPr>
              <w:jc w:val="left"/>
              <w:rPr>
                <w:rFonts w:asciiTheme="majorBidi" w:hAnsiTheme="majorBidi" w:cstheme="majorBidi"/>
                <w:sz w:val="24"/>
                <w:szCs w:val="24"/>
              </w:rPr>
            </w:pPr>
            <w:r>
              <w:rPr>
                <w:rFonts w:asciiTheme="majorBidi" w:hAnsiTheme="majorBidi" w:cstheme="majorBidi"/>
                <w:sz w:val="24"/>
                <w:szCs w:val="24"/>
              </w:rPr>
              <w:t>1.4</w:t>
            </w:r>
          </w:p>
        </w:tc>
        <w:tc>
          <w:tcPr>
            <w:tcW w:w="1163" w:type="dxa"/>
            <w:vAlign w:val="center"/>
          </w:tcPr>
          <w:p w14:paraId="0EBE6AB1" w14:textId="77777777" w:rsidR="00900124" w:rsidRDefault="00900124" w:rsidP="00E019EF">
            <w:pPr>
              <w:jc w:val="left"/>
              <w:rPr>
                <w:rFonts w:asciiTheme="majorBidi" w:hAnsiTheme="majorBidi" w:cstheme="majorBidi"/>
                <w:sz w:val="24"/>
                <w:szCs w:val="24"/>
              </w:rPr>
            </w:pPr>
            <w:r>
              <w:rPr>
                <w:rFonts w:asciiTheme="majorBidi" w:hAnsiTheme="majorBidi" w:cstheme="majorBidi"/>
                <w:sz w:val="24"/>
                <w:szCs w:val="24"/>
              </w:rPr>
              <w:t>1.6</w:t>
            </w:r>
          </w:p>
        </w:tc>
      </w:tr>
      <w:tr w:rsidR="00E019EF" w14:paraId="0C355BE2" w14:textId="77777777" w:rsidTr="00E019EF">
        <w:trPr>
          <w:jc w:val="center"/>
        </w:trPr>
        <w:tc>
          <w:tcPr>
            <w:tcW w:w="3200" w:type="dxa"/>
            <w:vAlign w:val="center"/>
          </w:tcPr>
          <w:p w14:paraId="08C3318C" w14:textId="44968807" w:rsidR="00900124" w:rsidRPr="00900124" w:rsidRDefault="00900124" w:rsidP="00E019EF">
            <w:pPr>
              <w:jc w:val="left"/>
              <w:rPr>
                <w:rFonts w:asciiTheme="majorBidi" w:hAnsiTheme="majorBidi" w:cstheme="majorBidi"/>
                <w:b/>
                <w:bCs/>
                <w:sz w:val="24"/>
                <w:szCs w:val="24"/>
              </w:rPr>
            </w:pPr>
            <w:r w:rsidRPr="00900124">
              <w:rPr>
                <w:rFonts w:asciiTheme="majorBidi" w:hAnsiTheme="majorBidi" w:cstheme="majorBidi"/>
                <w:b/>
                <w:bCs/>
                <w:sz w:val="24"/>
                <w:szCs w:val="24"/>
              </w:rPr>
              <w:t>Mode engine size</w:t>
            </w:r>
            <w:r w:rsidR="00A7258F">
              <w:rPr>
                <w:rFonts w:asciiTheme="majorBidi" w:hAnsiTheme="majorBidi" w:cstheme="majorBidi"/>
                <w:b/>
                <w:bCs/>
                <w:sz w:val="24"/>
                <w:szCs w:val="24"/>
              </w:rPr>
              <w:t xml:space="preserve"> in liters</w:t>
            </w:r>
            <w:r w:rsidRPr="00900124">
              <w:rPr>
                <w:rFonts w:asciiTheme="majorBidi" w:hAnsiTheme="majorBidi" w:cstheme="majorBidi"/>
                <w:b/>
                <w:bCs/>
                <w:sz w:val="24"/>
                <w:szCs w:val="24"/>
              </w:rPr>
              <w:t xml:space="preserve"> (diesel)</w:t>
            </w:r>
          </w:p>
        </w:tc>
        <w:tc>
          <w:tcPr>
            <w:tcW w:w="1276" w:type="dxa"/>
            <w:vAlign w:val="center"/>
          </w:tcPr>
          <w:p w14:paraId="435073EB" w14:textId="77777777" w:rsidR="00900124" w:rsidRDefault="00900124" w:rsidP="00E019EF">
            <w:pPr>
              <w:jc w:val="left"/>
              <w:rPr>
                <w:rFonts w:asciiTheme="majorBidi" w:hAnsiTheme="majorBidi" w:cstheme="majorBidi"/>
                <w:sz w:val="24"/>
                <w:szCs w:val="24"/>
              </w:rPr>
            </w:pPr>
            <w:r>
              <w:rPr>
                <w:rFonts w:asciiTheme="majorBidi" w:hAnsiTheme="majorBidi" w:cstheme="majorBidi"/>
                <w:sz w:val="24"/>
                <w:szCs w:val="24"/>
              </w:rPr>
              <w:t>2</w:t>
            </w:r>
          </w:p>
        </w:tc>
        <w:tc>
          <w:tcPr>
            <w:tcW w:w="1275" w:type="dxa"/>
            <w:vAlign w:val="center"/>
          </w:tcPr>
          <w:p w14:paraId="007BD0B9" w14:textId="77777777" w:rsidR="00900124" w:rsidRDefault="00900124" w:rsidP="00E019EF">
            <w:pPr>
              <w:jc w:val="left"/>
              <w:rPr>
                <w:rFonts w:asciiTheme="majorBidi" w:hAnsiTheme="majorBidi" w:cstheme="majorBidi"/>
                <w:sz w:val="24"/>
                <w:szCs w:val="24"/>
              </w:rPr>
            </w:pPr>
            <w:r>
              <w:rPr>
                <w:rFonts w:asciiTheme="majorBidi" w:hAnsiTheme="majorBidi" w:cstheme="majorBidi"/>
                <w:sz w:val="24"/>
                <w:szCs w:val="24"/>
              </w:rPr>
              <w:t>2</w:t>
            </w:r>
          </w:p>
        </w:tc>
        <w:tc>
          <w:tcPr>
            <w:tcW w:w="1134" w:type="dxa"/>
            <w:vAlign w:val="center"/>
          </w:tcPr>
          <w:p w14:paraId="2902EE39" w14:textId="77777777" w:rsidR="00900124" w:rsidRDefault="00900124" w:rsidP="00E019EF">
            <w:pPr>
              <w:jc w:val="left"/>
              <w:rPr>
                <w:rFonts w:asciiTheme="majorBidi" w:hAnsiTheme="majorBidi" w:cstheme="majorBidi"/>
                <w:sz w:val="24"/>
                <w:szCs w:val="24"/>
              </w:rPr>
            </w:pPr>
            <w:r>
              <w:rPr>
                <w:rFonts w:asciiTheme="majorBidi" w:hAnsiTheme="majorBidi" w:cstheme="majorBidi"/>
                <w:sz w:val="24"/>
                <w:szCs w:val="24"/>
              </w:rPr>
              <w:t>2</w:t>
            </w:r>
          </w:p>
        </w:tc>
        <w:tc>
          <w:tcPr>
            <w:tcW w:w="1163" w:type="dxa"/>
            <w:vAlign w:val="center"/>
          </w:tcPr>
          <w:p w14:paraId="7079D034" w14:textId="77777777" w:rsidR="00900124" w:rsidRDefault="00900124" w:rsidP="00E019EF">
            <w:pPr>
              <w:jc w:val="left"/>
              <w:rPr>
                <w:rFonts w:asciiTheme="majorBidi" w:hAnsiTheme="majorBidi" w:cstheme="majorBidi"/>
                <w:sz w:val="24"/>
                <w:szCs w:val="24"/>
              </w:rPr>
            </w:pPr>
            <w:r>
              <w:rPr>
                <w:rFonts w:asciiTheme="majorBidi" w:hAnsiTheme="majorBidi" w:cstheme="majorBidi"/>
                <w:sz w:val="24"/>
                <w:szCs w:val="24"/>
              </w:rPr>
              <w:t>2</w:t>
            </w:r>
          </w:p>
        </w:tc>
      </w:tr>
    </w:tbl>
    <w:p w14:paraId="44C69281" w14:textId="77777777" w:rsidR="00E76F84" w:rsidRDefault="00E76F84" w:rsidP="00080097">
      <w:pPr>
        <w:pStyle w:val="Heading1"/>
      </w:pPr>
      <w:bookmarkStart w:id="20" w:name="_Toc400533334"/>
      <w:r>
        <w:t>Discussion of Data</w:t>
      </w:r>
      <w:bookmarkEnd w:id="20"/>
    </w:p>
    <w:p w14:paraId="10EF424C" w14:textId="77777777" w:rsidR="00FD5DEB" w:rsidRDefault="00E76F84" w:rsidP="00185A0D">
      <w:pPr>
        <w:rPr>
          <w:rFonts w:asciiTheme="majorBidi" w:hAnsiTheme="majorBidi" w:cstheme="majorBidi"/>
          <w:sz w:val="24"/>
          <w:szCs w:val="24"/>
        </w:rPr>
      </w:pPr>
      <w:r w:rsidRPr="00012F9D">
        <w:rPr>
          <w:rFonts w:asciiTheme="majorBidi" w:hAnsiTheme="majorBidi" w:cstheme="majorBidi"/>
          <w:sz w:val="24"/>
          <w:szCs w:val="24"/>
        </w:rPr>
        <w:t>Non-OECD fuel economy average</w:t>
      </w:r>
      <w:r w:rsidR="00012F9D" w:rsidRPr="00012F9D">
        <w:rPr>
          <w:rFonts w:asciiTheme="majorBidi" w:hAnsiTheme="majorBidi" w:cstheme="majorBidi"/>
          <w:sz w:val="24"/>
          <w:szCs w:val="24"/>
        </w:rPr>
        <w:t>s</w:t>
      </w:r>
      <w:r w:rsidR="000F6A72">
        <w:rPr>
          <w:rFonts w:asciiTheme="majorBidi" w:hAnsiTheme="majorBidi" w:cstheme="majorBidi"/>
          <w:sz w:val="24"/>
          <w:szCs w:val="24"/>
        </w:rPr>
        <w:t xml:space="preserve"> for LDVs</w:t>
      </w:r>
      <w:r w:rsidRPr="00012F9D">
        <w:rPr>
          <w:rFonts w:asciiTheme="majorBidi" w:hAnsiTheme="majorBidi" w:cstheme="majorBidi"/>
          <w:sz w:val="24"/>
          <w:szCs w:val="24"/>
        </w:rPr>
        <w:t xml:space="preserve"> in L/100km for 200</w:t>
      </w:r>
      <w:r w:rsidR="00012F9D" w:rsidRPr="00012F9D">
        <w:rPr>
          <w:rFonts w:asciiTheme="majorBidi" w:hAnsiTheme="majorBidi" w:cstheme="majorBidi"/>
          <w:sz w:val="24"/>
          <w:szCs w:val="24"/>
        </w:rPr>
        <w:t>5, 2008 and 2011 were</w:t>
      </w:r>
      <w:r w:rsidR="00012F9D">
        <w:rPr>
          <w:rFonts w:asciiTheme="majorBidi" w:hAnsiTheme="majorBidi" w:cstheme="majorBidi"/>
          <w:sz w:val="24"/>
          <w:szCs w:val="24"/>
        </w:rPr>
        <w:t xml:space="preserve"> 7.5</w:t>
      </w:r>
      <w:r w:rsidRPr="00012F9D">
        <w:rPr>
          <w:rFonts w:asciiTheme="majorBidi" w:hAnsiTheme="majorBidi" w:cstheme="majorBidi"/>
          <w:sz w:val="24"/>
          <w:szCs w:val="24"/>
        </w:rPr>
        <w:t>, 7.6, 7.5</w:t>
      </w:r>
      <w:r w:rsidR="00012F9D" w:rsidRPr="00012F9D">
        <w:rPr>
          <w:rFonts w:asciiTheme="majorBidi" w:hAnsiTheme="majorBidi" w:cstheme="majorBidi"/>
          <w:sz w:val="24"/>
          <w:szCs w:val="24"/>
        </w:rPr>
        <w:t>,</w:t>
      </w:r>
      <w:r w:rsidRPr="00012F9D">
        <w:rPr>
          <w:rFonts w:asciiTheme="majorBidi" w:hAnsiTheme="majorBidi" w:cstheme="majorBidi"/>
          <w:sz w:val="24"/>
          <w:szCs w:val="24"/>
        </w:rPr>
        <w:t xml:space="preserve"> while OECD average</w:t>
      </w:r>
      <w:r w:rsidR="00012F9D" w:rsidRPr="00012F9D">
        <w:rPr>
          <w:rFonts w:asciiTheme="majorBidi" w:hAnsiTheme="majorBidi" w:cstheme="majorBidi"/>
          <w:sz w:val="24"/>
          <w:szCs w:val="24"/>
        </w:rPr>
        <w:t>s were 8.1, 7.6 and 7</w:t>
      </w:r>
      <w:r w:rsidR="000F6A72">
        <w:rPr>
          <w:rFonts w:asciiTheme="majorBidi" w:hAnsiTheme="majorBidi" w:cstheme="majorBidi"/>
          <w:sz w:val="24"/>
          <w:szCs w:val="24"/>
        </w:rPr>
        <w:t xml:space="preserve"> (Fuel Economy State of the W</w:t>
      </w:r>
      <w:r w:rsidR="00490EB4">
        <w:rPr>
          <w:rFonts w:asciiTheme="majorBidi" w:hAnsiTheme="majorBidi" w:cstheme="majorBidi"/>
          <w:sz w:val="24"/>
          <w:szCs w:val="24"/>
        </w:rPr>
        <w:t>orld,</w:t>
      </w:r>
      <w:r w:rsidR="00FD5DEB">
        <w:rPr>
          <w:rFonts w:asciiTheme="majorBidi" w:hAnsiTheme="majorBidi" w:cstheme="majorBidi"/>
          <w:sz w:val="24"/>
          <w:szCs w:val="24"/>
        </w:rPr>
        <w:t xml:space="preserve"> 2014)</w:t>
      </w:r>
      <w:r w:rsidR="00012F9D" w:rsidRPr="00012F9D">
        <w:rPr>
          <w:rFonts w:asciiTheme="majorBidi" w:hAnsiTheme="majorBidi" w:cstheme="majorBidi"/>
          <w:sz w:val="24"/>
          <w:szCs w:val="24"/>
        </w:rPr>
        <w:t>.</w:t>
      </w:r>
      <w:r w:rsidR="00012F9D">
        <w:rPr>
          <w:rFonts w:asciiTheme="majorBidi" w:hAnsiTheme="majorBidi" w:cstheme="majorBidi"/>
          <w:sz w:val="24"/>
          <w:szCs w:val="24"/>
        </w:rPr>
        <w:t xml:space="preserve"> Tunisia fared very well in comparison with the two said groups</w:t>
      </w:r>
      <w:r w:rsidR="00FD5DEB">
        <w:rPr>
          <w:rFonts w:asciiTheme="majorBidi" w:hAnsiTheme="majorBidi" w:cstheme="majorBidi"/>
          <w:sz w:val="24"/>
          <w:szCs w:val="24"/>
        </w:rPr>
        <w:t>,</w:t>
      </w:r>
      <w:r w:rsidR="0074209C">
        <w:rPr>
          <w:rFonts w:asciiTheme="majorBidi" w:hAnsiTheme="majorBidi" w:cstheme="majorBidi"/>
          <w:sz w:val="24"/>
          <w:szCs w:val="24"/>
        </w:rPr>
        <w:t xml:space="preserve"> with fuel consumption</w:t>
      </w:r>
      <w:r w:rsidR="00164F1F">
        <w:rPr>
          <w:rFonts w:asciiTheme="majorBidi" w:hAnsiTheme="majorBidi" w:cstheme="majorBidi"/>
          <w:sz w:val="24"/>
          <w:szCs w:val="24"/>
        </w:rPr>
        <w:t xml:space="preserve"> levels well</w:t>
      </w:r>
      <w:r w:rsidR="0035259E">
        <w:rPr>
          <w:rFonts w:asciiTheme="majorBidi" w:hAnsiTheme="majorBidi" w:cstheme="majorBidi"/>
          <w:sz w:val="24"/>
          <w:szCs w:val="24"/>
        </w:rPr>
        <w:t xml:space="preserve"> below</w:t>
      </w:r>
      <w:r w:rsidR="00164F1F">
        <w:rPr>
          <w:rFonts w:asciiTheme="majorBidi" w:hAnsiTheme="majorBidi" w:cstheme="majorBidi"/>
          <w:sz w:val="24"/>
          <w:szCs w:val="24"/>
        </w:rPr>
        <w:t xml:space="preserve"> their average</w:t>
      </w:r>
      <w:r w:rsidR="0035259E">
        <w:rPr>
          <w:rFonts w:asciiTheme="majorBidi" w:hAnsiTheme="majorBidi" w:cstheme="majorBidi"/>
          <w:sz w:val="24"/>
          <w:szCs w:val="24"/>
        </w:rPr>
        <w:t>s at few decimal points above and below 5 l/km for both p</w:t>
      </w:r>
      <w:r w:rsidR="00185A0D">
        <w:rPr>
          <w:rFonts w:asciiTheme="majorBidi" w:hAnsiTheme="majorBidi" w:cstheme="majorBidi"/>
          <w:sz w:val="24"/>
          <w:szCs w:val="24"/>
        </w:rPr>
        <w:t xml:space="preserve">etrol and diesel </w:t>
      </w:r>
      <w:r w:rsidR="0035259E">
        <w:rPr>
          <w:rFonts w:asciiTheme="majorBidi" w:hAnsiTheme="majorBidi" w:cstheme="majorBidi"/>
          <w:sz w:val="24"/>
          <w:szCs w:val="24"/>
        </w:rPr>
        <w:t>LDVs</w:t>
      </w:r>
      <w:r w:rsidR="00FD5DEB">
        <w:rPr>
          <w:rFonts w:asciiTheme="majorBidi" w:hAnsiTheme="majorBidi" w:cstheme="majorBidi"/>
          <w:sz w:val="24"/>
          <w:szCs w:val="24"/>
        </w:rPr>
        <w:t>.</w:t>
      </w:r>
      <w:r w:rsidR="00185A0D">
        <w:rPr>
          <w:rFonts w:asciiTheme="majorBidi" w:hAnsiTheme="majorBidi" w:cstheme="majorBidi"/>
          <w:sz w:val="24"/>
          <w:szCs w:val="24"/>
        </w:rPr>
        <w:t xml:space="preserve"> </w:t>
      </w:r>
      <w:r w:rsidR="00FD5DEB">
        <w:rPr>
          <w:rFonts w:asciiTheme="majorBidi" w:hAnsiTheme="majorBidi" w:cstheme="majorBidi"/>
          <w:sz w:val="24"/>
          <w:szCs w:val="24"/>
        </w:rPr>
        <w:t>This is more by accident than design since the criteria for allocating quotas</w:t>
      </w:r>
      <w:r w:rsidR="002F2D96">
        <w:rPr>
          <w:rFonts w:asciiTheme="majorBidi" w:hAnsiTheme="majorBidi" w:cstheme="majorBidi"/>
          <w:sz w:val="24"/>
          <w:szCs w:val="24"/>
        </w:rPr>
        <w:t xml:space="preserve"> do not account specifically for fuel consumption</w:t>
      </w:r>
      <w:r w:rsidR="00FD5DEB">
        <w:rPr>
          <w:rFonts w:asciiTheme="majorBidi" w:hAnsiTheme="majorBidi" w:cstheme="majorBidi"/>
          <w:sz w:val="24"/>
          <w:szCs w:val="24"/>
        </w:rPr>
        <w:t xml:space="preserve"> or CO</w:t>
      </w:r>
      <w:r w:rsidR="00FD5DEB">
        <w:rPr>
          <w:rFonts w:asciiTheme="majorBidi" w:hAnsiTheme="majorBidi" w:cstheme="majorBidi"/>
          <w:sz w:val="24"/>
          <w:szCs w:val="24"/>
          <w:vertAlign w:val="subscript"/>
        </w:rPr>
        <w:t>2</w:t>
      </w:r>
      <w:r w:rsidR="00FD5DEB">
        <w:rPr>
          <w:rFonts w:asciiTheme="majorBidi" w:hAnsiTheme="majorBidi" w:cstheme="majorBidi"/>
          <w:sz w:val="24"/>
          <w:szCs w:val="24"/>
        </w:rPr>
        <w:t xml:space="preserve"> emissions.</w:t>
      </w:r>
      <w:r w:rsidR="0066555A">
        <w:rPr>
          <w:rFonts w:asciiTheme="majorBidi" w:hAnsiTheme="majorBidi" w:cstheme="majorBidi"/>
          <w:sz w:val="24"/>
          <w:szCs w:val="24"/>
        </w:rPr>
        <w:t xml:space="preserve"> </w:t>
      </w:r>
    </w:p>
    <w:p w14:paraId="45CF1282" w14:textId="29AADD46" w:rsidR="00185A0D" w:rsidRDefault="009F58C2" w:rsidP="00185A0D">
      <w:pPr>
        <w:rPr>
          <w:rFonts w:asciiTheme="majorBidi" w:hAnsiTheme="majorBidi" w:cstheme="majorBidi"/>
          <w:sz w:val="24"/>
          <w:szCs w:val="24"/>
        </w:rPr>
      </w:pPr>
      <w:r>
        <w:rPr>
          <w:rFonts w:asciiTheme="majorBidi" w:hAnsiTheme="majorBidi" w:cstheme="majorBidi"/>
          <w:sz w:val="24"/>
          <w:szCs w:val="24"/>
        </w:rPr>
        <w:t xml:space="preserve">For petrol LDVs, </w:t>
      </w:r>
      <w:r w:rsidR="00185A0D">
        <w:rPr>
          <w:rFonts w:asciiTheme="majorBidi" w:hAnsiTheme="majorBidi" w:cstheme="majorBidi"/>
          <w:sz w:val="24"/>
          <w:szCs w:val="24"/>
        </w:rPr>
        <w:t>CO</w:t>
      </w:r>
      <w:r w:rsidR="00185A0D">
        <w:rPr>
          <w:rFonts w:asciiTheme="majorBidi" w:hAnsiTheme="majorBidi" w:cstheme="majorBidi"/>
          <w:sz w:val="24"/>
          <w:szCs w:val="24"/>
          <w:vertAlign w:val="subscript"/>
        </w:rPr>
        <w:t>2</w:t>
      </w:r>
      <w:r w:rsidR="00185A0D">
        <w:rPr>
          <w:rFonts w:asciiTheme="majorBidi" w:hAnsiTheme="majorBidi" w:cstheme="majorBidi"/>
          <w:sz w:val="24"/>
          <w:szCs w:val="24"/>
        </w:rPr>
        <w:t xml:space="preserve"> emissions rates followed the same pattern of change </w:t>
      </w:r>
      <w:r>
        <w:rPr>
          <w:rFonts w:asciiTheme="majorBidi" w:hAnsiTheme="majorBidi" w:cstheme="majorBidi"/>
          <w:sz w:val="24"/>
          <w:szCs w:val="24"/>
        </w:rPr>
        <w:t xml:space="preserve">of fuel </w:t>
      </w:r>
      <w:r w:rsidR="000039B3">
        <w:rPr>
          <w:rFonts w:asciiTheme="majorBidi" w:hAnsiTheme="majorBidi" w:cstheme="majorBidi"/>
          <w:sz w:val="24"/>
          <w:szCs w:val="24"/>
        </w:rPr>
        <w:t>consumption for</w:t>
      </w:r>
      <w:r w:rsidR="00185A0D">
        <w:rPr>
          <w:rFonts w:asciiTheme="majorBidi" w:hAnsiTheme="majorBidi" w:cstheme="majorBidi"/>
          <w:sz w:val="24"/>
          <w:szCs w:val="24"/>
        </w:rPr>
        <w:t xml:space="preserve"> the study years</w:t>
      </w:r>
      <w:r w:rsidR="00AA575B">
        <w:rPr>
          <w:rFonts w:asciiTheme="majorBidi" w:hAnsiTheme="majorBidi" w:cstheme="majorBidi"/>
          <w:sz w:val="24"/>
          <w:szCs w:val="24"/>
        </w:rPr>
        <w:t xml:space="preserve"> since there is a strong causation between fuel consumption and CO</w:t>
      </w:r>
      <w:r w:rsidR="00AA575B">
        <w:rPr>
          <w:rFonts w:asciiTheme="majorBidi" w:hAnsiTheme="majorBidi" w:cstheme="majorBidi"/>
          <w:sz w:val="24"/>
          <w:szCs w:val="24"/>
          <w:vertAlign w:val="subscript"/>
        </w:rPr>
        <w:t>2</w:t>
      </w:r>
      <w:r w:rsidR="00AA575B">
        <w:rPr>
          <w:rFonts w:asciiTheme="majorBidi" w:hAnsiTheme="majorBidi" w:cstheme="majorBidi"/>
          <w:sz w:val="24"/>
          <w:szCs w:val="24"/>
        </w:rPr>
        <w:t xml:space="preserve"> emissions</w:t>
      </w:r>
      <w:r w:rsidR="00185A0D">
        <w:rPr>
          <w:rFonts w:asciiTheme="majorBidi" w:hAnsiTheme="majorBidi" w:cstheme="majorBidi"/>
          <w:sz w:val="24"/>
          <w:szCs w:val="24"/>
        </w:rPr>
        <w:t xml:space="preserve">. </w:t>
      </w:r>
      <w:r w:rsidR="008379D7">
        <w:rPr>
          <w:rFonts w:asciiTheme="majorBidi" w:hAnsiTheme="majorBidi" w:cstheme="majorBidi"/>
          <w:sz w:val="24"/>
          <w:szCs w:val="24"/>
        </w:rPr>
        <w:t>All the same, the patterns of increase and decrease for CO</w:t>
      </w:r>
      <w:r w:rsidR="008379D7">
        <w:rPr>
          <w:rFonts w:asciiTheme="majorBidi" w:hAnsiTheme="majorBidi" w:cstheme="majorBidi"/>
          <w:sz w:val="24"/>
          <w:szCs w:val="24"/>
          <w:vertAlign w:val="subscript"/>
        </w:rPr>
        <w:t>2</w:t>
      </w:r>
      <w:r w:rsidR="008379D7">
        <w:rPr>
          <w:rFonts w:asciiTheme="majorBidi" w:hAnsiTheme="majorBidi" w:cstheme="majorBidi"/>
          <w:sz w:val="24"/>
          <w:szCs w:val="24"/>
        </w:rPr>
        <w:t xml:space="preserve"> emissions were more fleshed out than those for fuel consumption. This is because </w:t>
      </w:r>
      <w:r w:rsidR="00AA575B">
        <w:rPr>
          <w:rFonts w:asciiTheme="majorBidi" w:hAnsiTheme="majorBidi" w:cstheme="majorBidi"/>
          <w:sz w:val="24"/>
          <w:szCs w:val="24"/>
        </w:rPr>
        <w:t xml:space="preserve">a slight change in fuel consumption is associated with </w:t>
      </w:r>
      <w:r w:rsidR="000F6A72">
        <w:rPr>
          <w:rFonts w:asciiTheme="majorBidi" w:hAnsiTheme="majorBidi" w:cstheme="majorBidi"/>
          <w:sz w:val="24"/>
          <w:szCs w:val="24"/>
        </w:rPr>
        <w:t xml:space="preserve">a </w:t>
      </w:r>
      <w:r w:rsidR="00AA575B">
        <w:rPr>
          <w:rFonts w:asciiTheme="majorBidi" w:hAnsiTheme="majorBidi" w:cstheme="majorBidi"/>
          <w:sz w:val="24"/>
          <w:szCs w:val="24"/>
        </w:rPr>
        <w:t>much larger one for CO</w:t>
      </w:r>
      <w:r w:rsidR="00AA575B">
        <w:rPr>
          <w:rFonts w:asciiTheme="majorBidi" w:hAnsiTheme="majorBidi" w:cstheme="majorBidi"/>
          <w:sz w:val="24"/>
          <w:szCs w:val="24"/>
          <w:vertAlign w:val="subscript"/>
        </w:rPr>
        <w:t>2</w:t>
      </w:r>
      <w:r w:rsidR="00AA575B">
        <w:rPr>
          <w:rFonts w:asciiTheme="majorBidi" w:hAnsiTheme="majorBidi" w:cstheme="majorBidi"/>
          <w:sz w:val="24"/>
          <w:szCs w:val="24"/>
        </w:rPr>
        <w:t xml:space="preserve"> emissions.</w:t>
      </w:r>
      <w:r w:rsidR="000F6A72">
        <w:rPr>
          <w:rFonts w:asciiTheme="majorBidi" w:hAnsiTheme="majorBidi" w:cstheme="majorBidi"/>
          <w:sz w:val="24"/>
          <w:szCs w:val="24"/>
        </w:rPr>
        <w:t xml:space="preserve"> </w:t>
      </w:r>
    </w:p>
    <w:p w14:paraId="3405E835" w14:textId="77777777" w:rsidR="00FB1E21" w:rsidRPr="005B40CD" w:rsidRDefault="001309AE" w:rsidP="00185A0D">
      <w:pPr>
        <w:rPr>
          <w:rFonts w:asciiTheme="majorBidi" w:hAnsiTheme="majorBidi" w:cstheme="majorBidi"/>
          <w:sz w:val="24"/>
          <w:szCs w:val="24"/>
        </w:rPr>
      </w:pPr>
      <w:r>
        <w:rPr>
          <w:rFonts w:asciiTheme="majorBidi" w:hAnsiTheme="majorBidi" w:cstheme="majorBidi"/>
          <w:sz w:val="24"/>
          <w:szCs w:val="24"/>
        </w:rPr>
        <w:lastRenderedPageBreak/>
        <w:t>For diesel LDVs, CO</w:t>
      </w:r>
      <w:r>
        <w:rPr>
          <w:rFonts w:asciiTheme="majorBidi" w:hAnsiTheme="majorBidi" w:cstheme="majorBidi"/>
          <w:sz w:val="24"/>
          <w:szCs w:val="24"/>
          <w:vertAlign w:val="subscript"/>
        </w:rPr>
        <w:t>2</w:t>
      </w:r>
      <w:r>
        <w:rPr>
          <w:rFonts w:asciiTheme="majorBidi" w:hAnsiTheme="majorBidi" w:cstheme="majorBidi"/>
          <w:sz w:val="24"/>
          <w:szCs w:val="24"/>
        </w:rPr>
        <w:t xml:space="preserve"> emissions rates followed the same pattern of change of fuel consumption for 2005, 2008 and 2012. However,</w:t>
      </w:r>
      <w:r w:rsidR="00220AAD">
        <w:rPr>
          <w:rFonts w:asciiTheme="majorBidi" w:hAnsiTheme="majorBidi" w:cstheme="majorBidi"/>
          <w:sz w:val="24"/>
          <w:szCs w:val="24"/>
        </w:rPr>
        <w:t xml:space="preserve"> for the year 2012</w:t>
      </w:r>
      <w:r>
        <w:rPr>
          <w:rFonts w:asciiTheme="majorBidi" w:hAnsiTheme="majorBidi" w:cstheme="majorBidi"/>
          <w:sz w:val="24"/>
          <w:szCs w:val="24"/>
        </w:rPr>
        <w:t xml:space="preserve"> </w:t>
      </w:r>
      <w:r w:rsidR="00220AAD">
        <w:rPr>
          <w:rFonts w:asciiTheme="majorBidi" w:hAnsiTheme="majorBidi" w:cstheme="majorBidi"/>
          <w:sz w:val="24"/>
          <w:szCs w:val="24"/>
        </w:rPr>
        <w:t xml:space="preserve">fuel consumption increased by a few decimal points while </w:t>
      </w:r>
      <w:r w:rsidR="005B40CD">
        <w:rPr>
          <w:rFonts w:asciiTheme="majorBidi" w:hAnsiTheme="majorBidi" w:cstheme="majorBidi"/>
          <w:sz w:val="24"/>
          <w:szCs w:val="24"/>
        </w:rPr>
        <w:t>CO</w:t>
      </w:r>
      <w:r w:rsidR="005B40CD">
        <w:rPr>
          <w:rFonts w:asciiTheme="majorBidi" w:hAnsiTheme="majorBidi" w:cstheme="majorBidi"/>
          <w:sz w:val="24"/>
          <w:szCs w:val="24"/>
          <w:vertAlign w:val="subscript"/>
        </w:rPr>
        <w:t>2</w:t>
      </w:r>
      <w:r w:rsidR="005B40CD">
        <w:rPr>
          <w:rFonts w:asciiTheme="majorBidi" w:hAnsiTheme="majorBidi" w:cstheme="majorBidi"/>
          <w:sz w:val="24"/>
          <w:szCs w:val="24"/>
        </w:rPr>
        <w:t xml:space="preserve"> decreased. This could be explained by the wider variety of vehicles sold in Tunisia in 2012 where fuel consumption and CO</w:t>
      </w:r>
      <w:r w:rsidR="005B40CD">
        <w:rPr>
          <w:rFonts w:asciiTheme="majorBidi" w:hAnsiTheme="majorBidi" w:cstheme="majorBidi"/>
          <w:sz w:val="24"/>
          <w:szCs w:val="24"/>
          <w:vertAlign w:val="subscript"/>
        </w:rPr>
        <w:t>2</w:t>
      </w:r>
      <w:r w:rsidR="005B40CD">
        <w:rPr>
          <w:rFonts w:asciiTheme="majorBidi" w:hAnsiTheme="majorBidi" w:cstheme="majorBidi"/>
          <w:sz w:val="24"/>
          <w:szCs w:val="24"/>
        </w:rPr>
        <w:t xml:space="preserve"> emissions empirical relations had exhibited different forms of non-linearity.</w:t>
      </w:r>
    </w:p>
    <w:p w14:paraId="61AA1111" w14:textId="7466DFF6" w:rsidR="003D215B" w:rsidRDefault="009C5160" w:rsidP="00AB561A">
      <w:pPr>
        <w:rPr>
          <w:rFonts w:asciiTheme="majorBidi" w:hAnsiTheme="majorBidi" w:cstheme="majorBidi"/>
          <w:sz w:val="24"/>
          <w:szCs w:val="24"/>
        </w:rPr>
      </w:pPr>
      <w:r>
        <w:rPr>
          <w:rFonts w:asciiTheme="majorBidi" w:hAnsiTheme="majorBidi" w:cstheme="majorBidi"/>
          <w:sz w:val="24"/>
          <w:szCs w:val="24"/>
        </w:rPr>
        <w:t>Fuel consumption of diesel LDVS had been close to petrol for the same study period despite the use of larger diesel LDVs with larger engine sizes</w:t>
      </w:r>
      <w:r w:rsidR="00397717">
        <w:rPr>
          <w:rFonts w:asciiTheme="majorBidi" w:hAnsiTheme="majorBidi" w:cstheme="majorBidi"/>
          <w:sz w:val="24"/>
          <w:szCs w:val="24"/>
        </w:rPr>
        <w:t xml:space="preserve">. Main </w:t>
      </w:r>
      <w:r>
        <w:rPr>
          <w:rFonts w:asciiTheme="majorBidi" w:hAnsiTheme="majorBidi" w:cstheme="majorBidi"/>
          <w:sz w:val="24"/>
          <w:szCs w:val="24"/>
        </w:rPr>
        <w:t>reason is that diesel engines show better fuel consumption than petrol o</w:t>
      </w:r>
      <w:r w:rsidR="00730B4E">
        <w:rPr>
          <w:rFonts w:asciiTheme="majorBidi" w:hAnsiTheme="majorBidi" w:cstheme="majorBidi"/>
          <w:sz w:val="24"/>
          <w:szCs w:val="24"/>
        </w:rPr>
        <w:t>nes unless the characteristic is</w:t>
      </w:r>
      <w:r>
        <w:rPr>
          <w:rFonts w:asciiTheme="majorBidi" w:hAnsiTheme="majorBidi" w:cstheme="majorBidi"/>
          <w:sz w:val="24"/>
          <w:szCs w:val="24"/>
        </w:rPr>
        <w:t xml:space="preserve"> offset by </w:t>
      </w:r>
      <w:r w:rsidR="002B2096">
        <w:rPr>
          <w:rFonts w:asciiTheme="majorBidi" w:hAnsiTheme="majorBidi" w:cstheme="majorBidi"/>
          <w:sz w:val="24"/>
          <w:szCs w:val="24"/>
        </w:rPr>
        <w:t>vehicle</w:t>
      </w:r>
      <w:r w:rsidR="00397717">
        <w:rPr>
          <w:rFonts w:asciiTheme="majorBidi" w:hAnsiTheme="majorBidi" w:cstheme="majorBidi"/>
          <w:sz w:val="24"/>
          <w:szCs w:val="24"/>
        </w:rPr>
        <w:t xml:space="preserve"> </w:t>
      </w:r>
      <w:r w:rsidR="00776AAA">
        <w:rPr>
          <w:rFonts w:asciiTheme="majorBidi" w:hAnsiTheme="majorBidi" w:cstheme="majorBidi"/>
          <w:sz w:val="24"/>
          <w:szCs w:val="24"/>
        </w:rPr>
        <w:t>features such a</w:t>
      </w:r>
      <w:r w:rsidR="00730B4E">
        <w:rPr>
          <w:rFonts w:asciiTheme="majorBidi" w:hAnsiTheme="majorBidi" w:cstheme="majorBidi"/>
          <w:sz w:val="24"/>
          <w:szCs w:val="24"/>
        </w:rPr>
        <w:t>s</w:t>
      </w:r>
      <w:r w:rsidR="00776AAA">
        <w:rPr>
          <w:rFonts w:asciiTheme="majorBidi" w:hAnsiTheme="majorBidi" w:cstheme="majorBidi"/>
          <w:sz w:val="24"/>
          <w:szCs w:val="24"/>
        </w:rPr>
        <w:t xml:space="preserve"> </w:t>
      </w:r>
      <w:r w:rsidR="00730B4E">
        <w:rPr>
          <w:rFonts w:asciiTheme="majorBidi" w:hAnsiTheme="majorBidi" w:cstheme="majorBidi"/>
          <w:sz w:val="24"/>
          <w:szCs w:val="24"/>
        </w:rPr>
        <w:t xml:space="preserve">a </w:t>
      </w:r>
      <w:r w:rsidR="00776AAA">
        <w:rPr>
          <w:rFonts w:asciiTheme="majorBidi" w:hAnsiTheme="majorBidi" w:cstheme="majorBidi"/>
          <w:sz w:val="24"/>
          <w:szCs w:val="24"/>
        </w:rPr>
        <w:t>much larger engine siz</w:t>
      </w:r>
      <w:r w:rsidR="002B360A">
        <w:rPr>
          <w:rFonts w:asciiTheme="majorBidi" w:hAnsiTheme="majorBidi" w:cstheme="majorBidi"/>
          <w:sz w:val="24"/>
          <w:szCs w:val="24"/>
        </w:rPr>
        <w:t xml:space="preserve">e or body weight. </w:t>
      </w:r>
      <w:r w:rsidR="002B360A" w:rsidRPr="002B360A">
        <w:rPr>
          <w:rFonts w:asciiTheme="majorBidi" w:hAnsiTheme="majorBidi" w:cstheme="majorBidi"/>
          <w:sz w:val="24"/>
          <w:szCs w:val="24"/>
        </w:rPr>
        <w:t>CO</w:t>
      </w:r>
      <w:r w:rsidR="002B360A" w:rsidRPr="002B360A">
        <w:rPr>
          <w:rFonts w:asciiTheme="majorBidi" w:hAnsiTheme="majorBidi" w:cstheme="majorBidi"/>
          <w:sz w:val="24"/>
          <w:szCs w:val="24"/>
          <w:vertAlign w:val="subscript"/>
        </w:rPr>
        <w:t>2</w:t>
      </w:r>
      <w:r w:rsidR="002B360A" w:rsidRPr="002B360A">
        <w:rPr>
          <w:rFonts w:asciiTheme="majorBidi" w:hAnsiTheme="majorBidi" w:cstheme="majorBidi"/>
          <w:sz w:val="24"/>
          <w:szCs w:val="24"/>
        </w:rPr>
        <w:t xml:space="preserve"> emissions</w:t>
      </w:r>
      <w:r w:rsidR="002B360A" w:rsidRPr="002B360A">
        <w:rPr>
          <w:rFonts w:asciiTheme="majorBidi" w:hAnsiTheme="majorBidi" w:cstheme="majorBidi"/>
          <w:sz w:val="24"/>
          <w:szCs w:val="24"/>
          <w:vertAlign w:val="subscript"/>
        </w:rPr>
        <w:t xml:space="preserve"> </w:t>
      </w:r>
      <w:r w:rsidR="002B360A" w:rsidRPr="002B360A">
        <w:rPr>
          <w:rFonts w:asciiTheme="majorBidi" w:hAnsiTheme="majorBidi" w:cstheme="majorBidi"/>
          <w:sz w:val="24"/>
          <w:szCs w:val="24"/>
        </w:rPr>
        <w:t>for diesel LDVs had been consistently larger than those of petrol ones</w:t>
      </w:r>
      <w:r w:rsidR="002B2096">
        <w:rPr>
          <w:rFonts w:asciiTheme="majorBidi" w:hAnsiTheme="majorBidi" w:cstheme="majorBidi"/>
          <w:sz w:val="24"/>
          <w:szCs w:val="24"/>
        </w:rPr>
        <w:t xml:space="preserve"> due the higher carbon content of diesel. </w:t>
      </w:r>
      <w:r w:rsidR="00AB561A">
        <w:rPr>
          <w:rFonts w:asciiTheme="majorBidi" w:hAnsiTheme="majorBidi" w:cstheme="majorBidi"/>
          <w:sz w:val="24"/>
          <w:szCs w:val="24"/>
        </w:rPr>
        <w:t xml:space="preserve"> </w:t>
      </w:r>
    </w:p>
    <w:p w14:paraId="4A1E444E" w14:textId="42C0DF4F" w:rsidR="00CB7D6F" w:rsidRDefault="00AB561A" w:rsidP="00AB561A">
      <w:pPr>
        <w:rPr>
          <w:rFonts w:asciiTheme="majorBidi" w:hAnsiTheme="majorBidi" w:cstheme="majorBidi"/>
          <w:sz w:val="24"/>
          <w:szCs w:val="24"/>
        </w:rPr>
      </w:pPr>
      <w:r>
        <w:rPr>
          <w:rFonts w:asciiTheme="majorBidi" w:hAnsiTheme="majorBidi" w:cstheme="majorBidi"/>
          <w:sz w:val="24"/>
          <w:szCs w:val="24"/>
        </w:rPr>
        <w:t>Diesel LDVs sales comprised mainly</w:t>
      </w:r>
      <w:r w:rsidRPr="00AB561A">
        <w:rPr>
          <w:rFonts w:asciiTheme="majorBidi" w:hAnsiTheme="majorBidi" w:cstheme="majorBidi"/>
          <w:sz w:val="24"/>
          <w:szCs w:val="24"/>
        </w:rPr>
        <w:t xml:space="preserve"> pick-ups/mini-vans, 4 by 4 cars and other large cars</w:t>
      </w:r>
      <w:r w:rsidR="00397717">
        <w:rPr>
          <w:rFonts w:asciiTheme="majorBidi" w:hAnsiTheme="majorBidi" w:cstheme="majorBidi"/>
          <w:sz w:val="24"/>
          <w:szCs w:val="24"/>
        </w:rPr>
        <w:t>. Thi</w:t>
      </w:r>
      <w:r w:rsidR="003D215B">
        <w:rPr>
          <w:rFonts w:asciiTheme="majorBidi" w:hAnsiTheme="majorBidi" w:cstheme="majorBidi"/>
          <w:sz w:val="24"/>
          <w:szCs w:val="24"/>
        </w:rPr>
        <w:t xml:space="preserve">s is indeed a sound regulation </w:t>
      </w:r>
      <w:r w:rsidR="00397717">
        <w:rPr>
          <w:rFonts w:asciiTheme="majorBidi" w:hAnsiTheme="majorBidi" w:cstheme="majorBidi"/>
          <w:sz w:val="24"/>
          <w:szCs w:val="24"/>
        </w:rPr>
        <w:t>due</w:t>
      </w:r>
      <w:r w:rsidR="003D215B">
        <w:rPr>
          <w:rFonts w:asciiTheme="majorBidi" w:hAnsiTheme="majorBidi" w:cstheme="majorBidi"/>
          <w:sz w:val="24"/>
          <w:szCs w:val="24"/>
        </w:rPr>
        <w:t xml:space="preserve"> </w:t>
      </w:r>
      <w:r w:rsidR="00397717">
        <w:rPr>
          <w:rFonts w:asciiTheme="majorBidi" w:hAnsiTheme="majorBidi" w:cstheme="majorBidi"/>
          <w:sz w:val="24"/>
          <w:szCs w:val="24"/>
        </w:rPr>
        <w:t>the better fuel consumption of diesel</w:t>
      </w:r>
      <w:r w:rsidR="003D215B">
        <w:rPr>
          <w:rFonts w:asciiTheme="majorBidi" w:hAnsiTheme="majorBidi" w:cstheme="majorBidi"/>
          <w:sz w:val="24"/>
          <w:szCs w:val="24"/>
        </w:rPr>
        <w:t xml:space="preserve"> LDVs thus saving considerable </w:t>
      </w:r>
      <w:r w:rsidR="00397717">
        <w:rPr>
          <w:rFonts w:asciiTheme="majorBidi" w:hAnsiTheme="majorBidi" w:cstheme="majorBidi"/>
          <w:sz w:val="24"/>
          <w:szCs w:val="24"/>
        </w:rPr>
        <w:t>barrels of fuel in absolute terms.</w:t>
      </w:r>
    </w:p>
    <w:p w14:paraId="30C4939D" w14:textId="77777777" w:rsidR="00F615EB" w:rsidRDefault="00F615EB">
      <w:pPr>
        <w:jc w:val="left"/>
        <w:rPr>
          <w:rFonts w:asciiTheme="majorBidi" w:hAnsiTheme="majorBidi" w:cstheme="majorBidi"/>
          <w:sz w:val="24"/>
          <w:szCs w:val="24"/>
        </w:rPr>
      </w:pPr>
      <w:r>
        <w:rPr>
          <w:rFonts w:asciiTheme="majorBidi" w:hAnsiTheme="majorBidi" w:cstheme="majorBidi"/>
          <w:sz w:val="24"/>
          <w:szCs w:val="24"/>
        </w:rPr>
        <w:br w:type="page"/>
      </w:r>
    </w:p>
    <w:p w14:paraId="29F117AC" w14:textId="033203B3" w:rsidR="00F24581" w:rsidRDefault="00B34B3D" w:rsidP="00AB561A">
      <w:pPr>
        <w:rPr>
          <w:rFonts w:asciiTheme="majorBidi" w:hAnsiTheme="majorBidi" w:cstheme="majorBidi"/>
          <w:sz w:val="24"/>
          <w:szCs w:val="24"/>
        </w:rPr>
      </w:pPr>
      <w:r>
        <w:rPr>
          <w:rFonts w:asciiTheme="majorBidi" w:hAnsiTheme="majorBidi" w:cstheme="majorBidi"/>
          <w:sz w:val="24"/>
          <w:szCs w:val="24"/>
        </w:rPr>
        <w:lastRenderedPageBreak/>
        <w:t>For petrol LDVs the CO</w:t>
      </w:r>
      <w:r>
        <w:rPr>
          <w:rFonts w:asciiTheme="majorBidi" w:hAnsiTheme="majorBidi" w:cstheme="majorBidi"/>
          <w:sz w:val="24"/>
          <w:szCs w:val="24"/>
          <w:vertAlign w:val="subscript"/>
        </w:rPr>
        <w:t>2</w:t>
      </w:r>
      <w:r>
        <w:rPr>
          <w:rFonts w:asciiTheme="majorBidi" w:hAnsiTheme="majorBidi" w:cstheme="majorBidi"/>
          <w:sz w:val="24"/>
          <w:szCs w:val="24"/>
        </w:rPr>
        <w:t xml:space="preserve"> unweight average curve had been consistently higher than weighted average one.  This shows the availability of an ample room for improving CO</w:t>
      </w:r>
      <w:r>
        <w:rPr>
          <w:rFonts w:asciiTheme="majorBidi" w:hAnsiTheme="majorBidi" w:cstheme="majorBidi"/>
          <w:sz w:val="24"/>
          <w:szCs w:val="24"/>
          <w:vertAlign w:val="subscript"/>
        </w:rPr>
        <w:t>2</w:t>
      </w:r>
      <w:r>
        <w:rPr>
          <w:rFonts w:asciiTheme="majorBidi" w:hAnsiTheme="majorBidi" w:cstheme="majorBidi"/>
          <w:sz w:val="24"/>
          <w:szCs w:val="24"/>
        </w:rPr>
        <w:t xml:space="preserve"> emissions and the concomitant fuel consumption rates by pulling the unweight average curve down closer to the weighted average one through  a models selection criteria accounting for fuel consumption considerations.</w:t>
      </w:r>
    </w:p>
    <w:p w14:paraId="1099397C" w14:textId="6A37A94D" w:rsidR="003412DB" w:rsidRPr="003412DB" w:rsidRDefault="00F24581">
      <w:pPr>
        <w:rPr>
          <w:rFonts w:asciiTheme="majorBidi" w:hAnsiTheme="majorBidi" w:cstheme="majorBidi"/>
          <w:sz w:val="24"/>
          <w:szCs w:val="24"/>
        </w:rPr>
      </w:pPr>
      <w:r>
        <w:rPr>
          <w:rFonts w:asciiTheme="majorBidi" w:hAnsiTheme="majorBidi" w:cstheme="majorBidi"/>
          <w:sz w:val="24"/>
          <w:szCs w:val="24"/>
        </w:rPr>
        <w:t xml:space="preserve">For diesel LDVs however the weighted average curve had always been above the unweight ones. This is mainly due the large sales of the fuel efficient Renault symbol, and of pick-ups and mini-vans, while the rest of diesel sales are of </w:t>
      </w:r>
      <w:r w:rsidR="004A7203">
        <w:rPr>
          <w:rFonts w:asciiTheme="majorBidi" w:hAnsiTheme="majorBidi" w:cstheme="majorBidi"/>
          <w:sz w:val="24"/>
          <w:szCs w:val="24"/>
        </w:rPr>
        <w:t xml:space="preserve"> a wider variety of luxury upmarket models, which in turn</w:t>
      </w:r>
      <w:r>
        <w:rPr>
          <w:rFonts w:asciiTheme="majorBidi" w:hAnsiTheme="majorBidi" w:cstheme="majorBidi"/>
          <w:sz w:val="24"/>
          <w:szCs w:val="24"/>
        </w:rPr>
        <w:t xml:space="preserve"> </w:t>
      </w:r>
      <w:r w:rsidR="00B34B3D">
        <w:rPr>
          <w:rFonts w:asciiTheme="majorBidi" w:hAnsiTheme="majorBidi" w:cstheme="majorBidi"/>
          <w:sz w:val="24"/>
          <w:szCs w:val="24"/>
        </w:rPr>
        <w:t xml:space="preserve"> </w:t>
      </w:r>
      <w:r w:rsidR="004A7203">
        <w:rPr>
          <w:rFonts w:asciiTheme="majorBidi" w:hAnsiTheme="majorBidi" w:cstheme="majorBidi"/>
          <w:sz w:val="24"/>
          <w:szCs w:val="24"/>
        </w:rPr>
        <w:t xml:space="preserve">raised the unweight average. </w:t>
      </w:r>
    </w:p>
    <w:p w14:paraId="45E5D654" w14:textId="746CF197" w:rsidR="00FD5DEB" w:rsidRDefault="00FD5DEB" w:rsidP="00F615EB">
      <w:pPr>
        <w:jc w:val="left"/>
        <w:rPr>
          <w:rFonts w:asciiTheme="majorBidi" w:hAnsiTheme="majorBidi" w:cstheme="majorBidi"/>
          <w:b/>
          <w:bCs/>
          <w:i/>
          <w:iCs/>
          <w:sz w:val="24"/>
          <w:szCs w:val="24"/>
        </w:rPr>
      </w:pPr>
      <w:r w:rsidRPr="00FD5DEB">
        <w:rPr>
          <w:rFonts w:asciiTheme="majorBidi" w:hAnsiTheme="majorBidi" w:cstheme="majorBidi"/>
          <w:b/>
          <w:bCs/>
          <w:i/>
          <w:iCs/>
          <w:sz w:val="24"/>
          <w:szCs w:val="24"/>
        </w:rPr>
        <w:t>Year 2005</w:t>
      </w:r>
    </w:p>
    <w:p w14:paraId="1D5C33C0" w14:textId="77777777" w:rsidR="00FD5DEB" w:rsidRDefault="00FD5DEB" w:rsidP="008816D7">
      <w:pPr>
        <w:rPr>
          <w:rFonts w:asciiTheme="majorBidi" w:hAnsiTheme="majorBidi" w:cstheme="majorBidi"/>
          <w:sz w:val="24"/>
          <w:szCs w:val="24"/>
        </w:rPr>
      </w:pPr>
      <w:r w:rsidRPr="008816D7">
        <w:rPr>
          <w:rFonts w:asciiTheme="majorBidi" w:hAnsiTheme="majorBidi" w:cstheme="majorBidi"/>
          <w:sz w:val="24"/>
          <w:szCs w:val="24"/>
        </w:rPr>
        <w:t>Re</w:t>
      </w:r>
      <w:r w:rsidR="0084387D" w:rsidRPr="008816D7">
        <w:rPr>
          <w:rFonts w:asciiTheme="majorBidi" w:hAnsiTheme="majorBidi" w:cstheme="majorBidi"/>
          <w:sz w:val="24"/>
          <w:szCs w:val="24"/>
        </w:rPr>
        <w:t xml:space="preserve">nault symbol, Volkswagen Polo, Peugeot 206, Fiat Punto, Volkswagen Passat </w:t>
      </w:r>
      <w:r w:rsidR="0066555A" w:rsidRPr="008816D7">
        <w:rPr>
          <w:rFonts w:asciiTheme="majorBidi" w:hAnsiTheme="majorBidi" w:cstheme="majorBidi"/>
          <w:sz w:val="24"/>
          <w:szCs w:val="24"/>
        </w:rPr>
        <w:t xml:space="preserve">and Ford Fiesta accounted for </w:t>
      </w:r>
      <w:r w:rsidR="0084387D" w:rsidRPr="008816D7">
        <w:rPr>
          <w:rFonts w:asciiTheme="majorBidi" w:hAnsiTheme="majorBidi" w:cstheme="majorBidi"/>
          <w:sz w:val="24"/>
          <w:szCs w:val="24"/>
        </w:rPr>
        <w:t>83.9% of</w:t>
      </w:r>
      <w:r w:rsidR="008816D7">
        <w:rPr>
          <w:rFonts w:asciiTheme="majorBidi" w:hAnsiTheme="majorBidi" w:cstheme="majorBidi"/>
          <w:sz w:val="24"/>
          <w:szCs w:val="24"/>
        </w:rPr>
        <w:t xml:space="preserve"> total sales of new petrol LDVs</w:t>
      </w:r>
      <w:r w:rsidR="00F763BD">
        <w:rPr>
          <w:rFonts w:asciiTheme="majorBidi" w:hAnsiTheme="majorBidi" w:cstheme="majorBidi"/>
          <w:sz w:val="24"/>
          <w:szCs w:val="24"/>
        </w:rPr>
        <w:t xml:space="preserve"> through authorized dealers</w:t>
      </w:r>
      <w:r w:rsidR="00FD5F32">
        <w:rPr>
          <w:rFonts w:asciiTheme="majorBidi" w:hAnsiTheme="majorBidi" w:cstheme="majorBidi"/>
          <w:sz w:val="24"/>
          <w:szCs w:val="24"/>
        </w:rPr>
        <w:t>. Their fuel consumption levels</w:t>
      </w:r>
      <w:r w:rsidR="008816D7">
        <w:rPr>
          <w:rFonts w:asciiTheme="majorBidi" w:hAnsiTheme="majorBidi" w:cstheme="majorBidi"/>
          <w:sz w:val="24"/>
          <w:szCs w:val="24"/>
        </w:rPr>
        <w:t xml:space="preserve"> in l/100km were </w:t>
      </w:r>
      <w:r w:rsidR="008816D7" w:rsidRPr="008816D7">
        <w:rPr>
          <w:rFonts w:asciiTheme="majorBidi" w:hAnsiTheme="majorBidi" w:cstheme="majorBidi"/>
          <w:sz w:val="24"/>
          <w:szCs w:val="24"/>
        </w:rPr>
        <w:t>5.9</w:t>
      </w:r>
      <w:r w:rsidR="008816D7">
        <w:rPr>
          <w:rFonts w:asciiTheme="majorBidi" w:hAnsiTheme="majorBidi" w:cstheme="majorBidi"/>
          <w:sz w:val="24"/>
          <w:szCs w:val="24"/>
        </w:rPr>
        <w:t xml:space="preserve">, 3.9, </w:t>
      </w:r>
      <w:r w:rsidR="008816D7" w:rsidRPr="008816D7">
        <w:rPr>
          <w:rFonts w:asciiTheme="majorBidi" w:hAnsiTheme="majorBidi" w:cstheme="majorBidi"/>
          <w:sz w:val="24"/>
          <w:szCs w:val="24"/>
        </w:rPr>
        <w:t>6.4</w:t>
      </w:r>
      <w:r w:rsidR="008816D7">
        <w:rPr>
          <w:rFonts w:asciiTheme="majorBidi" w:hAnsiTheme="majorBidi" w:cstheme="majorBidi"/>
          <w:sz w:val="24"/>
          <w:szCs w:val="24"/>
        </w:rPr>
        <w:t xml:space="preserve">, </w:t>
      </w:r>
      <w:r w:rsidR="008816D7" w:rsidRPr="008816D7">
        <w:rPr>
          <w:rFonts w:asciiTheme="majorBidi" w:hAnsiTheme="majorBidi" w:cstheme="majorBidi"/>
          <w:sz w:val="24"/>
          <w:szCs w:val="24"/>
        </w:rPr>
        <w:t>5.7</w:t>
      </w:r>
      <w:r w:rsidR="008816D7">
        <w:rPr>
          <w:rFonts w:asciiTheme="majorBidi" w:hAnsiTheme="majorBidi" w:cstheme="majorBidi"/>
          <w:sz w:val="24"/>
          <w:szCs w:val="24"/>
        </w:rPr>
        <w:t xml:space="preserve">, </w:t>
      </w:r>
      <w:r w:rsidR="008816D7" w:rsidRPr="008816D7">
        <w:rPr>
          <w:rFonts w:asciiTheme="majorBidi" w:hAnsiTheme="majorBidi" w:cstheme="majorBidi"/>
          <w:sz w:val="24"/>
          <w:szCs w:val="24"/>
        </w:rPr>
        <w:t>4.9</w:t>
      </w:r>
      <w:r w:rsidR="009D67C6">
        <w:rPr>
          <w:rFonts w:asciiTheme="majorBidi" w:hAnsiTheme="majorBidi" w:cstheme="majorBidi"/>
          <w:sz w:val="24"/>
          <w:szCs w:val="24"/>
        </w:rPr>
        <w:t xml:space="preserve">, </w:t>
      </w:r>
      <w:r w:rsidR="009D67C6" w:rsidRPr="008816D7">
        <w:rPr>
          <w:rFonts w:asciiTheme="majorBidi" w:hAnsiTheme="majorBidi" w:cstheme="majorBidi"/>
          <w:sz w:val="24"/>
          <w:szCs w:val="24"/>
        </w:rPr>
        <w:t>and 5.8</w:t>
      </w:r>
      <w:r w:rsidR="0038579E">
        <w:rPr>
          <w:rFonts w:asciiTheme="majorBidi" w:hAnsiTheme="majorBidi" w:cstheme="majorBidi"/>
          <w:sz w:val="24"/>
          <w:szCs w:val="24"/>
        </w:rPr>
        <w:t xml:space="preserve">. All well below </w:t>
      </w:r>
      <w:r w:rsidR="0074209C">
        <w:rPr>
          <w:rFonts w:asciiTheme="majorBidi" w:hAnsiTheme="majorBidi" w:cstheme="majorBidi"/>
          <w:sz w:val="24"/>
          <w:szCs w:val="24"/>
        </w:rPr>
        <w:t xml:space="preserve">both the OECD and non-OECD </w:t>
      </w:r>
      <w:r w:rsidR="008816D7">
        <w:rPr>
          <w:rFonts w:asciiTheme="majorBidi" w:hAnsiTheme="majorBidi" w:cstheme="majorBidi"/>
          <w:sz w:val="24"/>
          <w:szCs w:val="24"/>
        </w:rPr>
        <w:t>average.</w:t>
      </w:r>
    </w:p>
    <w:p w14:paraId="753A216B" w14:textId="77777777" w:rsidR="006D6907" w:rsidRPr="00736029" w:rsidRDefault="00EB6647" w:rsidP="00736029">
      <w:pPr>
        <w:rPr>
          <w:rFonts w:asciiTheme="majorBidi" w:hAnsiTheme="majorBidi" w:cstheme="majorBidi"/>
          <w:sz w:val="24"/>
          <w:szCs w:val="24"/>
        </w:rPr>
      </w:pPr>
      <w:r>
        <w:rPr>
          <w:rFonts w:asciiTheme="majorBidi" w:hAnsiTheme="majorBidi" w:cstheme="majorBidi"/>
          <w:sz w:val="24"/>
          <w:szCs w:val="24"/>
        </w:rPr>
        <w:t>For diesel LDVs, Renault symbol</w:t>
      </w:r>
      <w:r w:rsidR="007E1F31">
        <w:rPr>
          <w:rFonts w:asciiTheme="majorBidi" w:hAnsiTheme="majorBidi" w:cstheme="majorBidi"/>
          <w:sz w:val="24"/>
          <w:szCs w:val="24"/>
        </w:rPr>
        <w:t>, Peugeot Partner and Citroen Berlingo accounted for most of sales with the Berlingo and Symbol being of the pick-up</w:t>
      </w:r>
      <w:r w:rsidR="0074209C">
        <w:rPr>
          <w:rFonts w:asciiTheme="majorBidi" w:hAnsiTheme="majorBidi" w:cstheme="majorBidi"/>
          <w:sz w:val="24"/>
          <w:szCs w:val="24"/>
        </w:rPr>
        <w:t>/ mini-van segment.</w:t>
      </w:r>
      <w:r w:rsidR="00C90A33">
        <w:rPr>
          <w:rFonts w:asciiTheme="majorBidi" w:hAnsiTheme="majorBidi" w:cstheme="majorBidi"/>
          <w:sz w:val="24"/>
          <w:szCs w:val="24"/>
        </w:rPr>
        <w:t xml:space="preserve"> This explains why f</w:t>
      </w:r>
      <w:r w:rsidR="0074209C">
        <w:rPr>
          <w:rFonts w:asciiTheme="majorBidi" w:hAnsiTheme="majorBidi" w:cstheme="majorBidi"/>
          <w:sz w:val="24"/>
          <w:szCs w:val="24"/>
        </w:rPr>
        <w:t>uel consumption for diesel LDVs was slightly higher than petrol’s.</w:t>
      </w:r>
      <w:r w:rsidR="00C90A33">
        <w:rPr>
          <w:rFonts w:asciiTheme="majorBidi" w:hAnsiTheme="majorBidi" w:cstheme="majorBidi"/>
          <w:sz w:val="24"/>
          <w:szCs w:val="24"/>
        </w:rPr>
        <w:t xml:space="preserve"> The</w:t>
      </w:r>
      <w:r w:rsidR="0074209C">
        <w:rPr>
          <w:rFonts w:asciiTheme="majorBidi" w:hAnsiTheme="majorBidi" w:cstheme="majorBidi"/>
          <w:sz w:val="24"/>
          <w:szCs w:val="24"/>
        </w:rPr>
        <w:t xml:space="preserve"> large num</w:t>
      </w:r>
      <w:r w:rsidR="009840BE">
        <w:rPr>
          <w:rFonts w:asciiTheme="majorBidi" w:hAnsiTheme="majorBidi" w:cstheme="majorBidi"/>
          <w:sz w:val="24"/>
          <w:szCs w:val="24"/>
        </w:rPr>
        <w:t>ber of sales of diesel Renault S</w:t>
      </w:r>
      <w:r w:rsidR="0074209C">
        <w:rPr>
          <w:rFonts w:asciiTheme="majorBidi" w:hAnsiTheme="majorBidi" w:cstheme="majorBidi"/>
          <w:sz w:val="24"/>
          <w:szCs w:val="24"/>
        </w:rPr>
        <w:t>ym</w:t>
      </w:r>
      <w:r w:rsidR="00214101">
        <w:rPr>
          <w:rFonts w:asciiTheme="majorBidi" w:hAnsiTheme="majorBidi" w:cstheme="majorBidi"/>
          <w:sz w:val="24"/>
          <w:szCs w:val="24"/>
        </w:rPr>
        <w:t xml:space="preserve">bol prevented the </w:t>
      </w:r>
      <w:r w:rsidR="0074209C">
        <w:rPr>
          <w:rFonts w:asciiTheme="majorBidi" w:hAnsiTheme="majorBidi" w:cstheme="majorBidi"/>
          <w:sz w:val="24"/>
          <w:szCs w:val="24"/>
        </w:rPr>
        <w:t>diesel fuel consumption level from shooting up.</w:t>
      </w:r>
    </w:p>
    <w:p w14:paraId="5220E973" w14:textId="77777777" w:rsidR="0074209C" w:rsidRDefault="0074209C" w:rsidP="008816D7">
      <w:pPr>
        <w:rPr>
          <w:rFonts w:asciiTheme="majorBidi" w:hAnsiTheme="majorBidi" w:cstheme="majorBidi"/>
          <w:b/>
          <w:bCs/>
          <w:i/>
          <w:iCs/>
          <w:sz w:val="24"/>
          <w:szCs w:val="24"/>
        </w:rPr>
      </w:pPr>
      <w:r w:rsidRPr="0074209C">
        <w:rPr>
          <w:rFonts w:asciiTheme="majorBidi" w:hAnsiTheme="majorBidi" w:cstheme="majorBidi"/>
          <w:b/>
          <w:bCs/>
          <w:i/>
          <w:iCs/>
          <w:sz w:val="24"/>
          <w:szCs w:val="24"/>
        </w:rPr>
        <w:t>Year 2008</w:t>
      </w:r>
    </w:p>
    <w:p w14:paraId="53A8CA0D" w14:textId="77777777" w:rsidR="00FD5F32" w:rsidRDefault="00FD5F32" w:rsidP="00FD5F32">
      <w:pPr>
        <w:rPr>
          <w:rFonts w:asciiTheme="majorBidi" w:hAnsiTheme="majorBidi" w:cstheme="majorBidi"/>
          <w:sz w:val="24"/>
          <w:szCs w:val="24"/>
        </w:rPr>
      </w:pPr>
      <w:r w:rsidRPr="00FD5F32">
        <w:rPr>
          <w:rFonts w:asciiTheme="majorBidi" w:hAnsiTheme="majorBidi" w:cstheme="majorBidi"/>
          <w:sz w:val="24"/>
          <w:szCs w:val="24"/>
        </w:rPr>
        <w:t xml:space="preserve">Renault symbol, Volkswagen Polo, Peugeot 206, Fiat Punto, Volkswagen Passat and Ford Fiesta accounted for </w:t>
      </w:r>
      <w:r>
        <w:rPr>
          <w:rFonts w:asciiTheme="majorBidi" w:hAnsiTheme="majorBidi" w:cstheme="majorBidi"/>
          <w:sz w:val="24"/>
          <w:szCs w:val="24"/>
        </w:rPr>
        <w:t>80</w:t>
      </w:r>
      <w:r w:rsidRPr="00FD5F32">
        <w:rPr>
          <w:rFonts w:asciiTheme="majorBidi" w:hAnsiTheme="majorBidi" w:cstheme="majorBidi"/>
          <w:sz w:val="24"/>
          <w:szCs w:val="24"/>
        </w:rPr>
        <w:t>% of total sales of new petrol LDVs</w:t>
      </w:r>
      <w:r w:rsidR="00F763BD">
        <w:rPr>
          <w:rFonts w:asciiTheme="majorBidi" w:hAnsiTheme="majorBidi" w:cstheme="majorBidi"/>
          <w:sz w:val="24"/>
          <w:szCs w:val="24"/>
        </w:rPr>
        <w:t xml:space="preserve"> through authorized dealers</w:t>
      </w:r>
      <w:r>
        <w:rPr>
          <w:rFonts w:asciiTheme="majorBidi" w:hAnsiTheme="majorBidi" w:cstheme="majorBidi"/>
          <w:sz w:val="24"/>
          <w:szCs w:val="24"/>
        </w:rPr>
        <w:t>. Fuel consumption for those years has not cha</w:t>
      </w:r>
      <w:r w:rsidR="001817B1">
        <w:rPr>
          <w:rFonts w:asciiTheme="majorBidi" w:hAnsiTheme="majorBidi" w:cstheme="majorBidi"/>
          <w:sz w:val="24"/>
          <w:szCs w:val="24"/>
        </w:rPr>
        <w:t xml:space="preserve">nged, yet their sales </w:t>
      </w:r>
      <w:r>
        <w:rPr>
          <w:rFonts w:asciiTheme="majorBidi" w:hAnsiTheme="majorBidi" w:cstheme="majorBidi"/>
          <w:sz w:val="24"/>
          <w:szCs w:val="24"/>
        </w:rPr>
        <w:t>increased</w:t>
      </w:r>
      <w:r w:rsidR="0064550D">
        <w:rPr>
          <w:rFonts w:asciiTheme="majorBidi" w:hAnsiTheme="majorBidi" w:cstheme="majorBidi"/>
          <w:sz w:val="24"/>
          <w:szCs w:val="24"/>
        </w:rPr>
        <w:t xml:space="preserve"> and their share of total LDV sales slightly decreased,</w:t>
      </w:r>
      <w:r>
        <w:rPr>
          <w:rFonts w:asciiTheme="majorBidi" w:hAnsiTheme="majorBidi" w:cstheme="majorBidi"/>
          <w:sz w:val="24"/>
          <w:szCs w:val="24"/>
        </w:rPr>
        <w:t xml:space="preserve"> explaining the slight increase in fuel consumption from</w:t>
      </w:r>
      <w:r w:rsidR="001817B1">
        <w:rPr>
          <w:rFonts w:asciiTheme="majorBidi" w:hAnsiTheme="majorBidi" w:cstheme="majorBidi"/>
          <w:sz w:val="24"/>
          <w:szCs w:val="24"/>
        </w:rPr>
        <w:t xml:space="preserve"> </w:t>
      </w:r>
      <w:r w:rsidR="00214101">
        <w:rPr>
          <w:rFonts w:asciiTheme="majorBidi" w:hAnsiTheme="majorBidi" w:cstheme="majorBidi"/>
          <w:sz w:val="24"/>
          <w:szCs w:val="24"/>
        </w:rPr>
        <w:t>5.2 l/100 km to 5.3 l/100 km</w:t>
      </w:r>
      <w:r w:rsidR="00C90A33">
        <w:rPr>
          <w:rFonts w:asciiTheme="majorBidi" w:hAnsiTheme="majorBidi" w:cstheme="majorBidi"/>
          <w:sz w:val="24"/>
          <w:szCs w:val="24"/>
        </w:rPr>
        <w:t xml:space="preserve">. </w:t>
      </w:r>
    </w:p>
    <w:p w14:paraId="0D5C366F" w14:textId="77777777" w:rsidR="00736029" w:rsidRPr="00080097" w:rsidRDefault="001817B1" w:rsidP="00080097">
      <w:pPr>
        <w:rPr>
          <w:rFonts w:asciiTheme="majorBidi" w:hAnsiTheme="majorBidi" w:cstheme="majorBidi"/>
          <w:sz w:val="24"/>
          <w:szCs w:val="24"/>
        </w:rPr>
      </w:pPr>
      <w:r>
        <w:rPr>
          <w:rFonts w:asciiTheme="majorBidi" w:hAnsiTheme="majorBidi" w:cstheme="majorBidi"/>
          <w:sz w:val="24"/>
          <w:szCs w:val="24"/>
        </w:rPr>
        <w:t>For diesel LDVs, sales of C</w:t>
      </w:r>
      <w:r w:rsidR="00C90A33">
        <w:rPr>
          <w:rFonts w:asciiTheme="majorBidi" w:hAnsiTheme="majorBidi" w:cstheme="majorBidi"/>
          <w:sz w:val="24"/>
          <w:szCs w:val="24"/>
        </w:rPr>
        <w:t>itroen Berlingo and Peugeot partner</w:t>
      </w:r>
      <w:r w:rsidR="0088250F">
        <w:rPr>
          <w:rFonts w:asciiTheme="majorBidi" w:hAnsiTheme="majorBidi" w:cstheme="majorBidi"/>
          <w:sz w:val="24"/>
          <w:szCs w:val="24"/>
        </w:rPr>
        <w:t xml:space="preserve"> remained </w:t>
      </w:r>
      <w:r w:rsidR="00C90A33">
        <w:rPr>
          <w:rFonts w:asciiTheme="majorBidi" w:hAnsiTheme="majorBidi" w:cstheme="majorBidi"/>
          <w:sz w:val="24"/>
          <w:szCs w:val="24"/>
        </w:rPr>
        <w:t>almost the same. However</w:t>
      </w:r>
      <w:r>
        <w:rPr>
          <w:rFonts w:asciiTheme="majorBidi" w:hAnsiTheme="majorBidi" w:cstheme="majorBidi"/>
          <w:sz w:val="24"/>
          <w:szCs w:val="24"/>
        </w:rPr>
        <w:t>,</w:t>
      </w:r>
      <w:r w:rsidR="00C90A33">
        <w:rPr>
          <w:rFonts w:asciiTheme="majorBidi" w:hAnsiTheme="majorBidi" w:cstheme="majorBidi"/>
          <w:sz w:val="24"/>
          <w:szCs w:val="24"/>
        </w:rPr>
        <w:t xml:space="preserve"> </w:t>
      </w:r>
      <w:r w:rsidR="003E2D53">
        <w:rPr>
          <w:rFonts w:asciiTheme="majorBidi" w:hAnsiTheme="majorBidi" w:cstheme="majorBidi"/>
          <w:sz w:val="24"/>
          <w:szCs w:val="24"/>
        </w:rPr>
        <w:t>Renault symbol sales increased in addition to increased sales of Citroen C4 which has a f</w:t>
      </w:r>
      <w:r w:rsidR="0088250F">
        <w:rPr>
          <w:rFonts w:asciiTheme="majorBidi" w:hAnsiTheme="majorBidi" w:cstheme="majorBidi"/>
          <w:sz w:val="24"/>
          <w:szCs w:val="24"/>
        </w:rPr>
        <w:t xml:space="preserve">uel consumption of </w:t>
      </w:r>
      <w:r w:rsidR="0064550D">
        <w:rPr>
          <w:rFonts w:asciiTheme="majorBidi" w:hAnsiTheme="majorBidi" w:cstheme="majorBidi"/>
          <w:sz w:val="24"/>
          <w:szCs w:val="24"/>
        </w:rPr>
        <w:t>4.5 l/100km, which explains the drop in fuel consumption by several decimal points from 5.3 l/100 km to 4.9 l/100 km.</w:t>
      </w:r>
    </w:p>
    <w:p w14:paraId="25A0EE68" w14:textId="77777777" w:rsidR="0088250F" w:rsidRDefault="009840BE" w:rsidP="00FD5F32">
      <w:pPr>
        <w:rPr>
          <w:rFonts w:asciiTheme="majorBidi" w:hAnsiTheme="majorBidi" w:cstheme="majorBidi"/>
          <w:b/>
          <w:bCs/>
          <w:i/>
          <w:iCs/>
          <w:sz w:val="24"/>
          <w:szCs w:val="24"/>
        </w:rPr>
      </w:pPr>
      <w:r>
        <w:rPr>
          <w:rFonts w:asciiTheme="majorBidi" w:hAnsiTheme="majorBidi" w:cstheme="majorBidi"/>
          <w:b/>
          <w:bCs/>
          <w:i/>
          <w:iCs/>
          <w:sz w:val="24"/>
          <w:szCs w:val="24"/>
        </w:rPr>
        <w:t>Year 2010</w:t>
      </w:r>
    </w:p>
    <w:p w14:paraId="5B68CD6D" w14:textId="7C439EEE" w:rsidR="00CB7D6F" w:rsidRDefault="00052A06" w:rsidP="00FD5F32">
      <w:pPr>
        <w:rPr>
          <w:rFonts w:asciiTheme="majorBidi" w:hAnsiTheme="majorBidi" w:cstheme="majorBidi"/>
          <w:sz w:val="24"/>
          <w:szCs w:val="24"/>
        </w:rPr>
      </w:pPr>
      <w:r w:rsidRPr="00052A06">
        <w:rPr>
          <w:rFonts w:asciiTheme="majorBidi" w:hAnsiTheme="majorBidi" w:cstheme="majorBidi"/>
          <w:sz w:val="24"/>
          <w:szCs w:val="24"/>
        </w:rPr>
        <w:t>Renault symbol, Volkswagen Polo, Kia Rio, Ford Fiesta, Peugeot 206, Volkswagen Golf, Fiat Punto, Volkswagen Passat, Kia Picanto</w:t>
      </w:r>
      <w:r w:rsidR="00F763BD">
        <w:rPr>
          <w:rFonts w:asciiTheme="majorBidi" w:hAnsiTheme="majorBidi" w:cstheme="majorBidi"/>
          <w:sz w:val="24"/>
          <w:szCs w:val="24"/>
        </w:rPr>
        <w:t xml:space="preserve"> accounted for 75% of total</w:t>
      </w:r>
      <w:r w:rsidR="0094635D">
        <w:rPr>
          <w:rFonts w:asciiTheme="majorBidi" w:hAnsiTheme="majorBidi" w:cstheme="majorBidi"/>
          <w:sz w:val="24"/>
          <w:szCs w:val="24"/>
        </w:rPr>
        <w:t xml:space="preserve"> sales for</w:t>
      </w:r>
      <w:r w:rsidR="00F763BD">
        <w:rPr>
          <w:rFonts w:asciiTheme="majorBidi" w:hAnsiTheme="majorBidi" w:cstheme="majorBidi"/>
          <w:sz w:val="24"/>
          <w:szCs w:val="24"/>
        </w:rPr>
        <w:t xml:space="preserve"> new petrol LDVs through authorized dealers.</w:t>
      </w:r>
      <w:r w:rsidR="00F76085">
        <w:rPr>
          <w:rFonts w:asciiTheme="majorBidi" w:hAnsiTheme="majorBidi" w:cstheme="majorBidi"/>
          <w:sz w:val="24"/>
          <w:szCs w:val="24"/>
        </w:rPr>
        <w:t xml:space="preserve"> Most of them had fuel consumption levels slightly lower than those for the previous years. The weighted fuel economy average</w:t>
      </w:r>
      <w:r w:rsidR="00093972">
        <w:rPr>
          <w:rFonts w:asciiTheme="majorBidi" w:hAnsiTheme="majorBidi" w:cstheme="majorBidi"/>
          <w:sz w:val="24"/>
          <w:szCs w:val="24"/>
        </w:rPr>
        <w:t xml:space="preserve"> therefore </w:t>
      </w:r>
      <w:r w:rsidR="00F76085">
        <w:rPr>
          <w:rFonts w:asciiTheme="majorBidi" w:hAnsiTheme="majorBidi" w:cstheme="majorBidi"/>
          <w:sz w:val="24"/>
          <w:szCs w:val="24"/>
        </w:rPr>
        <w:t>had remained the same with a slight decrease of a few decimal points.</w:t>
      </w:r>
    </w:p>
    <w:p w14:paraId="6859CA33" w14:textId="77777777" w:rsidR="00F615EB" w:rsidRDefault="00F615EB">
      <w:pPr>
        <w:jc w:val="left"/>
        <w:rPr>
          <w:rFonts w:asciiTheme="majorBidi" w:hAnsiTheme="majorBidi" w:cstheme="majorBidi"/>
          <w:sz w:val="24"/>
          <w:szCs w:val="24"/>
        </w:rPr>
      </w:pPr>
      <w:r>
        <w:rPr>
          <w:rFonts w:asciiTheme="majorBidi" w:hAnsiTheme="majorBidi" w:cstheme="majorBidi"/>
          <w:sz w:val="24"/>
          <w:szCs w:val="24"/>
        </w:rPr>
        <w:br w:type="page"/>
      </w:r>
    </w:p>
    <w:p w14:paraId="185789B5" w14:textId="127D34A8" w:rsidR="006D6907" w:rsidRDefault="006D6907" w:rsidP="00FD5F32">
      <w:pPr>
        <w:rPr>
          <w:rFonts w:asciiTheme="majorBidi" w:hAnsiTheme="majorBidi" w:cstheme="majorBidi"/>
          <w:sz w:val="24"/>
          <w:szCs w:val="24"/>
        </w:rPr>
      </w:pPr>
      <w:r>
        <w:rPr>
          <w:rFonts w:asciiTheme="majorBidi" w:hAnsiTheme="majorBidi" w:cstheme="majorBidi"/>
          <w:sz w:val="24"/>
          <w:szCs w:val="24"/>
        </w:rPr>
        <w:lastRenderedPageBreak/>
        <w:t>For diesel LDVs</w:t>
      </w:r>
      <w:r w:rsidR="006C74F3">
        <w:rPr>
          <w:rFonts w:asciiTheme="majorBidi" w:hAnsiTheme="majorBidi" w:cstheme="majorBidi"/>
          <w:sz w:val="24"/>
          <w:szCs w:val="24"/>
        </w:rPr>
        <w:t>,</w:t>
      </w:r>
      <w:r>
        <w:rPr>
          <w:rFonts w:asciiTheme="majorBidi" w:hAnsiTheme="majorBidi" w:cstheme="majorBidi"/>
          <w:sz w:val="24"/>
          <w:szCs w:val="24"/>
        </w:rPr>
        <w:t xml:space="preserve"> </w:t>
      </w:r>
      <w:r w:rsidR="00271476">
        <w:rPr>
          <w:rFonts w:asciiTheme="majorBidi" w:hAnsiTheme="majorBidi" w:cstheme="majorBidi"/>
          <w:sz w:val="24"/>
          <w:szCs w:val="24"/>
        </w:rPr>
        <w:t>fuel consumption remained almost the same</w:t>
      </w:r>
      <w:r w:rsidR="00F406E5">
        <w:rPr>
          <w:rFonts w:asciiTheme="majorBidi" w:hAnsiTheme="majorBidi" w:cstheme="majorBidi"/>
          <w:sz w:val="24"/>
          <w:szCs w:val="24"/>
        </w:rPr>
        <w:t xml:space="preserve"> as that </w:t>
      </w:r>
      <w:r w:rsidR="00F462D4">
        <w:rPr>
          <w:rFonts w:asciiTheme="majorBidi" w:hAnsiTheme="majorBidi" w:cstheme="majorBidi"/>
          <w:sz w:val="24"/>
          <w:szCs w:val="24"/>
        </w:rPr>
        <w:t>for 2008</w:t>
      </w:r>
      <w:r w:rsidR="00271476">
        <w:rPr>
          <w:rFonts w:asciiTheme="majorBidi" w:hAnsiTheme="majorBidi" w:cstheme="majorBidi"/>
          <w:sz w:val="24"/>
          <w:szCs w:val="24"/>
        </w:rPr>
        <w:t>.</w:t>
      </w:r>
    </w:p>
    <w:p w14:paraId="714A9801" w14:textId="77777777" w:rsidR="00625CC0" w:rsidRDefault="00625CC0" w:rsidP="00FD5F32">
      <w:pPr>
        <w:rPr>
          <w:rFonts w:asciiTheme="majorBidi" w:hAnsiTheme="majorBidi" w:cstheme="majorBidi"/>
          <w:b/>
          <w:bCs/>
          <w:i/>
          <w:iCs/>
          <w:sz w:val="24"/>
          <w:szCs w:val="24"/>
        </w:rPr>
      </w:pPr>
      <w:r w:rsidRPr="00625CC0">
        <w:rPr>
          <w:rFonts w:asciiTheme="majorBidi" w:hAnsiTheme="majorBidi" w:cstheme="majorBidi"/>
          <w:b/>
          <w:bCs/>
          <w:i/>
          <w:iCs/>
          <w:sz w:val="24"/>
          <w:szCs w:val="24"/>
        </w:rPr>
        <w:t>Year 2012</w:t>
      </w:r>
    </w:p>
    <w:p w14:paraId="55B6417E" w14:textId="77777777" w:rsidR="00625CC0" w:rsidRDefault="00625CC0" w:rsidP="00F462D4">
      <w:pPr>
        <w:rPr>
          <w:rFonts w:asciiTheme="majorBidi" w:hAnsiTheme="majorBidi" w:cstheme="majorBidi"/>
          <w:sz w:val="24"/>
          <w:szCs w:val="24"/>
        </w:rPr>
      </w:pPr>
      <w:r w:rsidRPr="0094635D">
        <w:rPr>
          <w:rFonts w:asciiTheme="majorBidi" w:hAnsiTheme="majorBidi" w:cstheme="majorBidi"/>
          <w:sz w:val="24"/>
          <w:szCs w:val="24"/>
        </w:rPr>
        <w:t>Renault Symbol</w:t>
      </w:r>
      <w:r w:rsidR="0094635D" w:rsidRPr="0094635D">
        <w:rPr>
          <w:rFonts w:asciiTheme="majorBidi" w:hAnsiTheme="majorBidi" w:cstheme="majorBidi"/>
          <w:sz w:val="24"/>
          <w:szCs w:val="24"/>
        </w:rPr>
        <w:t xml:space="preserve">, </w:t>
      </w:r>
      <w:r w:rsidRPr="0094635D">
        <w:rPr>
          <w:rFonts w:asciiTheme="majorBidi" w:hAnsiTheme="majorBidi" w:cstheme="majorBidi"/>
          <w:sz w:val="24"/>
          <w:szCs w:val="24"/>
        </w:rPr>
        <w:t>VW Polo</w:t>
      </w:r>
      <w:r w:rsidR="0094635D" w:rsidRPr="0094635D">
        <w:rPr>
          <w:rFonts w:asciiTheme="majorBidi" w:hAnsiTheme="majorBidi" w:cstheme="majorBidi"/>
          <w:sz w:val="24"/>
          <w:szCs w:val="24"/>
        </w:rPr>
        <w:t xml:space="preserve">, </w:t>
      </w:r>
      <w:r w:rsidRPr="0094635D">
        <w:rPr>
          <w:rFonts w:asciiTheme="majorBidi" w:hAnsiTheme="majorBidi" w:cstheme="majorBidi"/>
          <w:sz w:val="24"/>
          <w:szCs w:val="24"/>
        </w:rPr>
        <w:t>Kia Rio</w:t>
      </w:r>
      <w:r w:rsidR="0094635D" w:rsidRPr="0094635D">
        <w:rPr>
          <w:rFonts w:asciiTheme="majorBidi" w:hAnsiTheme="majorBidi" w:cstheme="majorBidi"/>
          <w:sz w:val="24"/>
          <w:szCs w:val="24"/>
        </w:rPr>
        <w:t xml:space="preserve">, </w:t>
      </w:r>
      <w:r w:rsidRPr="0094635D">
        <w:rPr>
          <w:rFonts w:asciiTheme="majorBidi" w:hAnsiTheme="majorBidi" w:cstheme="majorBidi"/>
          <w:sz w:val="24"/>
          <w:szCs w:val="24"/>
        </w:rPr>
        <w:t>Ford Fiesta</w:t>
      </w:r>
      <w:r w:rsidR="0094635D" w:rsidRPr="0094635D">
        <w:rPr>
          <w:rFonts w:asciiTheme="majorBidi" w:hAnsiTheme="majorBidi" w:cstheme="majorBidi"/>
          <w:sz w:val="24"/>
          <w:szCs w:val="24"/>
        </w:rPr>
        <w:t xml:space="preserve">, </w:t>
      </w:r>
      <w:r w:rsidRPr="0094635D">
        <w:rPr>
          <w:rFonts w:asciiTheme="majorBidi" w:hAnsiTheme="majorBidi" w:cstheme="majorBidi"/>
          <w:sz w:val="24"/>
          <w:szCs w:val="24"/>
        </w:rPr>
        <w:t>Fiat Punto</w:t>
      </w:r>
      <w:r w:rsidR="0094635D" w:rsidRPr="0094635D">
        <w:rPr>
          <w:rFonts w:asciiTheme="majorBidi" w:hAnsiTheme="majorBidi" w:cstheme="majorBidi"/>
          <w:sz w:val="24"/>
          <w:szCs w:val="24"/>
        </w:rPr>
        <w:t xml:space="preserve">, </w:t>
      </w:r>
      <w:r w:rsidRPr="0094635D">
        <w:rPr>
          <w:rFonts w:asciiTheme="majorBidi" w:hAnsiTheme="majorBidi" w:cstheme="majorBidi"/>
          <w:sz w:val="24"/>
          <w:szCs w:val="24"/>
        </w:rPr>
        <w:t>Peugeot 206</w:t>
      </w:r>
      <w:r w:rsidR="0094635D" w:rsidRPr="0094635D">
        <w:rPr>
          <w:rFonts w:asciiTheme="majorBidi" w:hAnsiTheme="majorBidi" w:cstheme="majorBidi"/>
          <w:sz w:val="24"/>
          <w:szCs w:val="24"/>
        </w:rPr>
        <w:t xml:space="preserve">, </w:t>
      </w:r>
      <w:r w:rsidRPr="0094635D">
        <w:rPr>
          <w:rFonts w:asciiTheme="majorBidi" w:hAnsiTheme="majorBidi" w:cstheme="majorBidi"/>
          <w:sz w:val="24"/>
          <w:szCs w:val="24"/>
        </w:rPr>
        <w:t>VW Golf</w:t>
      </w:r>
      <w:r w:rsidR="0094635D">
        <w:rPr>
          <w:rFonts w:asciiTheme="majorBidi" w:hAnsiTheme="majorBidi" w:cstheme="majorBidi"/>
          <w:sz w:val="24"/>
          <w:szCs w:val="24"/>
        </w:rPr>
        <w:t xml:space="preserve">, </w:t>
      </w:r>
      <w:r w:rsidRPr="0094635D">
        <w:rPr>
          <w:rFonts w:asciiTheme="majorBidi" w:hAnsiTheme="majorBidi" w:cstheme="majorBidi"/>
          <w:sz w:val="24"/>
          <w:szCs w:val="24"/>
        </w:rPr>
        <w:t xml:space="preserve">Chevrolet </w:t>
      </w:r>
      <w:proofErr w:type="spellStart"/>
      <w:r w:rsidRPr="0094635D">
        <w:rPr>
          <w:rFonts w:asciiTheme="majorBidi" w:hAnsiTheme="majorBidi" w:cstheme="majorBidi"/>
          <w:sz w:val="24"/>
          <w:szCs w:val="24"/>
        </w:rPr>
        <w:t>Aveo</w:t>
      </w:r>
      <w:proofErr w:type="spellEnd"/>
      <w:r w:rsidR="0094635D" w:rsidRPr="0094635D">
        <w:rPr>
          <w:rFonts w:asciiTheme="majorBidi" w:hAnsiTheme="majorBidi" w:cstheme="majorBidi"/>
          <w:sz w:val="24"/>
          <w:szCs w:val="24"/>
        </w:rPr>
        <w:t xml:space="preserve">, </w:t>
      </w:r>
      <w:r w:rsidRPr="0094635D">
        <w:rPr>
          <w:rFonts w:asciiTheme="majorBidi" w:hAnsiTheme="majorBidi" w:cstheme="majorBidi"/>
          <w:sz w:val="24"/>
          <w:szCs w:val="24"/>
        </w:rPr>
        <w:t>Citroen C3</w:t>
      </w:r>
      <w:r w:rsidR="00F462D4">
        <w:rPr>
          <w:rFonts w:asciiTheme="majorBidi" w:hAnsiTheme="majorBidi" w:cstheme="majorBidi"/>
          <w:sz w:val="24"/>
          <w:szCs w:val="24"/>
        </w:rPr>
        <w:t xml:space="preserve"> and </w:t>
      </w:r>
      <w:r w:rsidRPr="0094635D">
        <w:rPr>
          <w:rFonts w:asciiTheme="majorBidi" w:hAnsiTheme="majorBidi" w:cstheme="majorBidi"/>
          <w:sz w:val="24"/>
          <w:szCs w:val="24"/>
        </w:rPr>
        <w:t>Seat Ibiza</w:t>
      </w:r>
      <w:r w:rsidR="0094635D">
        <w:rPr>
          <w:rFonts w:asciiTheme="majorBidi" w:hAnsiTheme="majorBidi" w:cstheme="majorBidi"/>
          <w:sz w:val="24"/>
          <w:szCs w:val="24"/>
        </w:rPr>
        <w:t xml:space="preserve"> accounted for 76%</w:t>
      </w:r>
      <w:r w:rsidR="00F462D4">
        <w:rPr>
          <w:rFonts w:asciiTheme="majorBidi" w:hAnsiTheme="majorBidi" w:cstheme="majorBidi"/>
          <w:sz w:val="24"/>
          <w:szCs w:val="24"/>
        </w:rPr>
        <w:t xml:space="preserve"> </w:t>
      </w:r>
      <w:r w:rsidR="00F462D4" w:rsidRPr="00F462D4">
        <w:rPr>
          <w:rFonts w:asciiTheme="majorBidi" w:hAnsiTheme="majorBidi" w:cstheme="majorBidi"/>
          <w:sz w:val="24"/>
          <w:szCs w:val="24"/>
        </w:rPr>
        <w:t>of total sales for new petrol LDVs through authorized dealers.</w:t>
      </w:r>
      <w:r w:rsidR="00F462D4">
        <w:rPr>
          <w:rFonts w:asciiTheme="majorBidi" w:hAnsiTheme="majorBidi" w:cstheme="majorBidi"/>
          <w:sz w:val="24"/>
          <w:szCs w:val="24"/>
        </w:rPr>
        <w:t xml:space="preserve"> </w:t>
      </w:r>
      <w:r w:rsidR="001553B1">
        <w:rPr>
          <w:rFonts w:asciiTheme="majorBidi" w:hAnsiTheme="majorBidi" w:cstheme="majorBidi"/>
          <w:sz w:val="24"/>
          <w:szCs w:val="24"/>
        </w:rPr>
        <w:t xml:space="preserve"> Fuel consumption decreased</w:t>
      </w:r>
      <w:r w:rsidR="00191709">
        <w:rPr>
          <w:rFonts w:asciiTheme="majorBidi" w:hAnsiTheme="majorBidi" w:cstheme="majorBidi"/>
          <w:sz w:val="24"/>
          <w:szCs w:val="24"/>
        </w:rPr>
        <w:t xml:space="preserve"> by a 0</w:t>
      </w:r>
      <w:r w:rsidR="00F406E5">
        <w:rPr>
          <w:rFonts w:asciiTheme="majorBidi" w:hAnsiTheme="majorBidi" w:cstheme="majorBidi"/>
          <w:sz w:val="24"/>
          <w:szCs w:val="24"/>
        </w:rPr>
        <w:t>.1 decimal point. Obviously that was not a tangible increase though it could be attributed to a relatively wider v</w:t>
      </w:r>
      <w:r w:rsidR="001553B1">
        <w:rPr>
          <w:rFonts w:asciiTheme="majorBidi" w:hAnsiTheme="majorBidi" w:cstheme="majorBidi"/>
          <w:sz w:val="24"/>
          <w:szCs w:val="24"/>
        </w:rPr>
        <w:t xml:space="preserve">ariety of more efficient </w:t>
      </w:r>
      <w:r w:rsidR="00F406E5">
        <w:rPr>
          <w:rFonts w:asciiTheme="majorBidi" w:hAnsiTheme="majorBidi" w:cstheme="majorBidi"/>
          <w:sz w:val="24"/>
          <w:szCs w:val="24"/>
        </w:rPr>
        <w:t>LDVs accompanied by a slight decrease in the market share of the aforementioned models which had retained</w:t>
      </w:r>
      <w:r w:rsidR="004F3554">
        <w:rPr>
          <w:rFonts w:asciiTheme="majorBidi" w:hAnsiTheme="majorBidi" w:cstheme="majorBidi"/>
          <w:sz w:val="24"/>
          <w:szCs w:val="24"/>
        </w:rPr>
        <w:t xml:space="preserve"> the</w:t>
      </w:r>
      <w:r w:rsidR="00F406E5">
        <w:rPr>
          <w:rFonts w:asciiTheme="majorBidi" w:hAnsiTheme="majorBidi" w:cstheme="majorBidi"/>
          <w:sz w:val="24"/>
          <w:szCs w:val="24"/>
        </w:rPr>
        <w:t xml:space="preserve"> largest chunk by far of the Tunisian market throughout the years trended in the present report.</w:t>
      </w:r>
    </w:p>
    <w:p w14:paraId="4BFB649A" w14:textId="77777777" w:rsidR="000622D9" w:rsidRDefault="001553B1" w:rsidP="006E1D6A">
      <w:pPr>
        <w:rPr>
          <w:rFonts w:asciiTheme="majorBidi" w:hAnsiTheme="majorBidi" w:cstheme="majorBidi"/>
          <w:sz w:val="24"/>
          <w:szCs w:val="24"/>
        </w:rPr>
      </w:pPr>
      <w:r>
        <w:rPr>
          <w:rFonts w:asciiTheme="majorBidi" w:hAnsiTheme="majorBidi" w:cstheme="majorBidi"/>
          <w:sz w:val="24"/>
          <w:szCs w:val="24"/>
        </w:rPr>
        <w:t xml:space="preserve">Renault Symbol, Peugeot Partner, Citroen C4 and </w:t>
      </w:r>
      <w:proofErr w:type="spellStart"/>
      <w:r>
        <w:rPr>
          <w:rFonts w:asciiTheme="majorBidi" w:hAnsiTheme="majorBidi" w:cstheme="majorBidi"/>
          <w:sz w:val="24"/>
          <w:szCs w:val="24"/>
        </w:rPr>
        <w:t>Ciroen</w:t>
      </w:r>
      <w:proofErr w:type="spellEnd"/>
      <w:r>
        <w:rPr>
          <w:rFonts w:asciiTheme="majorBidi" w:hAnsiTheme="majorBidi" w:cstheme="majorBidi"/>
          <w:sz w:val="24"/>
          <w:szCs w:val="24"/>
        </w:rPr>
        <w:t xml:space="preserve"> Berlingo made up most of diesel LDVs sales in Tunisia for the year 2012.</w:t>
      </w:r>
      <w:r w:rsidR="004F3554">
        <w:rPr>
          <w:rFonts w:asciiTheme="majorBidi" w:hAnsiTheme="majorBidi" w:cstheme="majorBidi"/>
          <w:sz w:val="24"/>
          <w:szCs w:val="24"/>
        </w:rPr>
        <w:t xml:space="preserve"> Fuel consumption increased marginally by </w:t>
      </w:r>
      <w:r w:rsidR="00046BBE">
        <w:rPr>
          <w:rFonts w:asciiTheme="majorBidi" w:hAnsiTheme="majorBidi" w:cstheme="majorBidi"/>
          <w:sz w:val="24"/>
          <w:szCs w:val="24"/>
        </w:rPr>
        <w:t xml:space="preserve">a </w:t>
      </w:r>
      <w:r w:rsidR="004F3554">
        <w:rPr>
          <w:rFonts w:asciiTheme="majorBidi" w:hAnsiTheme="majorBidi" w:cstheme="majorBidi"/>
          <w:sz w:val="24"/>
          <w:szCs w:val="24"/>
        </w:rPr>
        <w:t>decimal point</w:t>
      </w:r>
      <w:r w:rsidR="00E956FE">
        <w:rPr>
          <w:rFonts w:asciiTheme="majorBidi" w:hAnsiTheme="majorBidi" w:cstheme="majorBidi"/>
          <w:sz w:val="24"/>
          <w:szCs w:val="24"/>
        </w:rPr>
        <w:t xml:space="preserve"> due a wider variety of models in 2012</w:t>
      </w:r>
      <w:r w:rsidR="000622D9">
        <w:rPr>
          <w:rFonts w:asciiTheme="majorBidi" w:hAnsiTheme="majorBidi" w:cstheme="majorBidi"/>
          <w:sz w:val="24"/>
          <w:szCs w:val="24"/>
        </w:rPr>
        <w:t>.</w:t>
      </w:r>
    </w:p>
    <w:p w14:paraId="064F3C05" w14:textId="77777777" w:rsidR="000622D9" w:rsidRDefault="00C21769" w:rsidP="00080097">
      <w:pPr>
        <w:pStyle w:val="Heading1"/>
      </w:pPr>
      <w:bookmarkStart w:id="21" w:name="_Toc400533335"/>
      <w:r>
        <w:t>Way Forward</w:t>
      </w:r>
      <w:bookmarkEnd w:id="21"/>
      <w:r>
        <w:t xml:space="preserve"> </w:t>
      </w:r>
    </w:p>
    <w:p w14:paraId="57AEF712" w14:textId="77777777" w:rsidR="00F615EB" w:rsidRDefault="00764106" w:rsidP="00474AE8">
      <w:pPr>
        <w:rPr>
          <w:rFonts w:asciiTheme="majorBidi" w:hAnsiTheme="majorBidi" w:cstheme="majorBidi"/>
          <w:sz w:val="24"/>
          <w:szCs w:val="24"/>
        </w:rPr>
      </w:pPr>
      <w:r>
        <w:rPr>
          <w:rFonts w:asciiTheme="majorBidi" w:hAnsiTheme="majorBidi" w:cstheme="majorBidi"/>
          <w:sz w:val="24"/>
          <w:szCs w:val="24"/>
        </w:rPr>
        <w:t xml:space="preserve"> For the years trended in the report, Tunisia managed to maintain outstanding fuel consumption rates on a weighted average scale. This should somewhat run counter to what might have been expected from a North African country achieving high motorization rates and boasting sound  economic indicators </w:t>
      </w:r>
      <w:r w:rsidR="000F09D8">
        <w:rPr>
          <w:rFonts w:asciiTheme="majorBidi" w:hAnsiTheme="majorBidi" w:cstheme="majorBidi"/>
          <w:sz w:val="24"/>
          <w:szCs w:val="24"/>
        </w:rPr>
        <w:t xml:space="preserve">in a </w:t>
      </w:r>
      <w:r>
        <w:rPr>
          <w:rFonts w:asciiTheme="majorBidi" w:hAnsiTheme="majorBidi" w:cstheme="majorBidi"/>
          <w:sz w:val="24"/>
          <w:szCs w:val="24"/>
        </w:rPr>
        <w:t xml:space="preserve">comparative perspective. </w:t>
      </w:r>
      <w:r w:rsidR="000F09D8">
        <w:rPr>
          <w:rFonts w:asciiTheme="majorBidi" w:hAnsiTheme="majorBidi" w:cstheme="majorBidi"/>
          <w:sz w:val="24"/>
          <w:szCs w:val="24"/>
        </w:rPr>
        <w:t xml:space="preserve"> The quota regulation </w:t>
      </w:r>
      <w:r>
        <w:rPr>
          <w:rFonts w:asciiTheme="majorBidi" w:hAnsiTheme="majorBidi" w:cstheme="majorBidi"/>
          <w:sz w:val="24"/>
          <w:szCs w:val="24"/>
        </w:rPr>
        <w:t xml:space="preserve">of </w:t>
      </w:r>
      <w:r w:rsidR="006E1D6A">
        <w:rPr>
          <w:rFonts w:asciiTheme="majorBidi" w:hAnsiTheme="majorBidi" w:cstheme="majorBidi"/>
          <w:sz w:val="24"/>
          <w:szCs w:val="24"/>
        </w:rPr>
        <w:t xml:space="preserve">the petrol </w:t>
      </w:r>
      <w:r>
        <w:rPr>
          <w:rFonts w:asciiTheme="majorBidi" w:hAnsiTheme="majorBidi" w:cstheme="majorBidi"/>
          <w:sz w:val="24"/>
          <w:szCs w:val="24"/>
        </w:rPr>
        <w:t>Shaabiyaa vehicles</w:t>
      </w:r>
      <w:r w:rsidR="000F09D8">
        <w:rPr>
          <w:rFonts w:asciiTheme="majorBidi" w:hAnsiTheme="majorBidi" w:cstheme="majorBidi"/>
          <w:sz w:val="24"/>
          <w:szCs w:val="24"/>
        </w:rPr>
        <w:t xml:space="preserve"> is the main so</w:t>
      </w:r>
      <w:r w:rsidR="002375F0">
        <w:rPr>
          <w:rFonts w:asciiTheme="majorBidi" w:hAnsiTheme="majorBidi" w:cstheme="majorBidi"/>
          <w:sz w:val="24"/>
          <w:szCs w:val="24"/>
        </w:rPr>
        <w:t xml:space="preserve">urce of this desired trend. </w:t>
      </w:r>
      <w:r w:rsidR="000F09D8">
        <w:rPr>
          <w:rFonts w:asciiTheme="majorBidi" w:hAnsiTheme="majorBidi" w:cstheme="majorBidi"/>
          <w:sz w:val="24"/>
          <w:szCs w:val="24"/>
        </w:rPr>
        <w:t xml:space="preserve"> As discussed earlier i</w:t>
      </w:r>
      <w:r w:rsidR="002375F0">
        <w:rPr>
          <w:rFonts w:asciiTheme="majorBidi" w:hAnsiTheme="majorBidi" w:cstheme="majorBidi"/>
          <w:sz w:val="24"/>
          <w:szCs w:val="24"/>
        </w:rPr>
        <w:t>n the report, macroeconomic considerations and boosting domestic industry are the pivotal tenets of quota allocation.</w:t>
      </w:r>
      <w:r>
        <w:rPr>
          <w:rFonts w:asciiTheme="majorBidi" w:hAnsiTheme="majorBidi" w:cstheme="majorBidi"/>
          <w:sz w:val="24"/>
          <w:szCs w:val="24"/>
        </w:rPr>
        <w:t xml:space="preserve"> </w:t>
      </w:r>
    </w:p>
    <w:p w14:paraId="28BE37A7" w14:textId="6E4940A2" w:rsidR="00764106" w:rsidRDefault="002375F0" w:rsidP="00474AE8">
      <w:pPr>
        <w:rPr>
          <w:rFonts w:asciiTheme="majorBidi" w:hAnsiTheme="majorBidi" w:cstheme="majorBidi"/>
          <w:sz w:val="24"/>
          <w:szCs w:val="24"/>
        </w:rPr>
      </w:pPr>
      <w:r>
        <w:rPr>
          <w:rFonts w:asciiTheme="majorBidi" w:hAnsiTheme="majorBidi" w:cstheme="majorBidi"/>
          <w:sz w:val="24"/>
          <w:szCs w:val="24"/>
        </w:rPr>
        <w:t>The selected models show an overwhelming preference for cheap European vehicles thus capitalizing inadvertently</w:t>
      </w:r>
      <w:r w:rsidR="00FA461E">
        <w:rPr>
          <w:rFonts w:asciiTheme="majorBidi" w:hAnsiTheme="majorBidi" w:cstheme="majorBidi"/>
          <w:sz w:val="24"/>
          <w:szCs w:val="24"/>
        </w:rPr>
        <w:t xml:space="preserve"> on the increasingly tightening fuel consumption regulation of European manufacturers. </w:t>
      </w:r>
      <w:r w:rsidR="00474AE8" w:rsidRPr="00474AE8">
        <w:rPr>
          <w:rFonts w:asciiTheme="majorBidi" w:hAnsiTheme="majorBidi" w:cstheme="majorBidi"/>
          <w:sz w:val="24"/>
          <w:szCs w:val="24"/>
        </w:rPr>
        <w:t>Further, in many cases the variant design is tweaked to suit markets with significant taxation and tariff barriers. This is carried out through offering</w:t>
      </w:r>
      <w:r w:rsidR="006E1D6A">
        <w:rPr>
          <w:rFonts w:asciiTheme="majorBidi" w:hAnsiTheme="majorBidi" w:cstheme="majorBidi"/>
          <w:sz w:val="24"/>
          <w:szCs w:val="24"/>
        </w:rPr>
        <w:t xml:space="preserve"> a variant for</w:t>
      </w:r>
      <w:r w:rsidR="00474AE8" w:rsidRPr="00474AE8">
        <w:rPr>
          <w:rFonts w:asciiTheme="majorBidi" w:hAnsiTheme="majorBidi" w:cstheme="majorBidi"/>
          <w:sz w:val="24"/>
          <w:szCs w:val="24"/>
        </w:rPr>
        <w:t xml:space="preserve"> a certain model with a scaled back engine size</w:t>
      </w:r>
      <w:r w:rsidR="00474AE8">
        <w:rPr>
          <w:rFonts w:asciiTheme="majorBidi" w:hAnsiTheme="majorBidi" w:cstheme="majorBidi"/>
          <w:sz w:val="24"/>
          <w:szCs w:val="24"/>
        </w:rPr>
        <w:t xml:space="preserve">. </w:t>
      </w:r>
      <w:r w:rsidR="00FA461E">
        <w:rPr>
          <w:rFonts w:asciiTheme="majorBidi" w:hAnsiTheme="majorBidi" w:cstheme="majorBidi"/>
          <w:sz w:val="24"/>
          <w:szCs w:val="24"/>
        </w:rPr>
        <w:t>On the downside, the</w:t>
      </w:r>
      <w:r w:rsidR="006E1D6A">
        <w:rPr>
          <w:rFonts w:asciiTheme="majorBidi" w:hAnsiTheme="majorBidi" w:cstheme="majorBidi"/>
          <w:sz w:val="24"/>
          <w:szCs w:val="24"/>
        </w:rPr>
        <w:t xml:space="preserve"> petrol</w:t>
      </w:r>
      <w:r w:rsidR="00FA461E">
        <w:rPr>
          <w:rFonts w:asciiTheme="majorBidi" w:hAnsiTheme="majorBidi" w:cstheme="majorBidi"/>
          <w:sz w:val="24"/>
          <w:szCs w:val="24"/>
        </w:rPr>
        <w:t xml:space="preserve"> model variants selected for the Tunisian market entertain less sophisticated technological capabilities than their European counterparts.</w:t>
      </w:r>
    </w:p>
    <w:p w14:paraId="07D56CEB" w14:textId="4CA9CEAF" w:rsidR="00AB7245" w:rsidRDefault="00AB7245" w:rsidP="00474AE8">
      <w:pPr>
        <w:rPr>
          <w:rFonts w:asciiTheme="majorBidi" w:hAnsiTheme="majorBidi" w:cstheme="majorBidi"/>
          <w:sz w:val="24"/>
          <w:szCs w:val="24"/>
        </w:rPr>
      </w:pPr>
      <w:r>
        <w:rPr>
          <w:rFonts w:asciiTheme="majorBidi" w:hAnsiTheme="majorBidi" w:cstheme="majorBidi"/>
          <w:sz w:val="24"/>
          <w:szCs w:val="24"/>
        </w:rPr>
        <w:t xml:space="preserve">On absolute terms, the motor petrol consumption in Tunisia had been on the rise since </w:t>
      </w:r>
      <w:r w:rsidR="009210B5">
        <w:rPr>
          <w:rFonts w:asciiTheme="majorBidi" w:hAnsiTheme="majorBidi" w:cstheme="majorBidi"/>
          <w:sz w:val="24"/>
          <w:szCs w:val="24"/>
        </w:rPr>
        <w:t>2006 as shown by Figure 8</w:t>
      </w:r>
      <w:r>
        <w:rPr>
          <w:rFonts w:asciiTheme="majorBidi" w:hAnsiTheme="majorBidi" w:cstheme="majorBidi"/>
          <w:sz w:val="24"/>
          <w:szCs w:val="24"/>
        </w:rPr>
        <w:t>.</w:t>
      </w:r>
    </w:p>
    <w:p w14:paraId="21C01B63" w14:textId="5853BBD4" w:rsidR="006C569B" w:rsidRDefault="000C1874" w:rsidP="00CB7D6F">
      <w:pPr>
        <w:keepNext/>
        <w:jc w:val="center"/>
      </w:pPr>
      <w:r>
        <w:rPr>
          <w:noProof/>
        </w:rPr>
        <w:lastRenderedPageBreak/>
        <w:drawing>
          <wp:inline distT="0" distB="0" distL="0" distR="0" wp14:anchorId="03609182" wp14:editId="58F601FA">
            <wp:extent cx="3575304" cy="2295144"/>
            <wp:effectExtent l="0" t="0" r="635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75304" cy="2295144"/>
                    </a:xfrm>
                    <a:prstGeom prst="rect">
                      <a:avLst/>
                    </a:prstGeom>
                    <a:noFill/>
                  </pic:spPr>
                </pic:pic>
              </a:graphicData>
            </a:graphic>
          </wp:inline>
        </w:drawing>
      </w:r>
    </w:p>
    <w:p w14:paraId="61E7584A" w14:textId="480A4299" w:rsidR="00AB7245" w:rsidRDefault="006C569B" w:rsidP="00CB7D6F">
      <w:pPr>
        <w:pStyle w:val="Caption"/>
        <w:jc w:val="center"/>
        <w:rPr>
          <w:rFonts w:asciiTheme="majorBidi" w:hAnsiTheme="majorBidi" w:cstheme="majorBidi"/>
          <w:sz w:val="24"/>
          <w:szCs w:val="24"/>
        </w:rPr>
      </w:pPr>
      <w:bookmarkStart w:id="22" w:name="_Toc400532652"/>
      <w:r>
        <w:t xml:space="preserve">Figure </w:t>
      </w:r>
      <w:r w:rsidR="005818B3">
        <w:fldChar w:fldCharType="begin"/>
      </w:r>
      <w:r w:rsidR="005818B3">
        <w:instrText xml:space="preserve"> SEQ Figure \* ARABIC </w:instrText>
      </w:r>
      <w:r w:rsidR="005818B3">
        <w:fldChar w:fldCharType="separate"/>
      </w:r>
      <w:r w:rsidR="004D5381">
        <w:rPr>
          <w:noProof/>
        </w:rPr>
        <w:t>8</w:t>
      </w:r>
      <w:r w:rsidR="005818B3">
        <w:rPr>
          <w:noProof/>
        </w:rPr>
        <w:fldChar w:fldCharType="end"/>
      </w:r>
      <w:r>
        <w:t xml:space="preserve">: Evolution of motor petrol consumption in </w:t>
      </w:r>
      <w:proofErr w:type="gramStart"/>
      <w:r>
        <w:t>Tunisia  (</w:t>
      </w:r>
      <w:proofErr w:type="gramEnd"/>
      <w:r>
        <w:t>The globaleconomy.com, 2014)</w:t>
      </w:r>
      <w:bookmarkEnd w:id="22"/>
    </w:p>
    <w:p w14:paraId="613EFE6C" w14:textId="7898C04C" w:rsidR="003412DB" w:rsidRDefault="00AB7245" w:rsidP="00474AE8">
      <w:pPr>
        <w:rPr>
          <w:rFonts w:asciiTheme="majorBidi" w:hAnsiTheme="majorBidi" w:cstheme="majorBidi"/>
          <w:sz w:val="24"/>
          <w:szCs w:val="24"/>
        </w:rPr>
      </w:pPr>
      <w:r w:rsidRPr="00C138A8">
        <w:rPr>
          <w:rFonts w:asciiTheme="majorBidi" w:hAnsiTheme="majorBidi" w:cstheme="majorBidi"/>
          <w:sz w:val="24"/>
          <w:szCs w:val="24"/>
        </w:rPr>
        <w:t xml:space="preserve">The discussion in previous sections demonstrates that the current quota system is indeed not </w:t>
      </w:r>
      <w:r w:rsidR="00664471" w:rsidRPr="00C138A8">
        <w:rPr>
          <w:rFonts w:asciiTheme="majorBidi" w:hAnsiTheme="majorBidi" w:cstheme="majorBidi"/>
          <w:sz w:val="24"/>
          <w:szCs w:val="24"/>
        </w:rPr>
        <w:t xml:space="preserve">the </w:t>
      </w:r>
      <w:r w:rsidRPr="00C138A8">
        <w:rPr>
          <w:rFonts w:asciiTheme="majorBidi" w:hAnsiTheme="majorBidi" w:cstheme="majorBidi"/>
          <w:sz w:val="24"/>
          <w:szCs w:val="24"/>
        </w:rPr>
        <w:t>best av</w:t>
      </w:r>
      <w:r w:rsidR="00664471" w:rsidRPr="00C138A8">
        <w:rPr>
          <w:rFonts w:asciiTheme="majorBidi" w:hAnsiTheme="majorBidi" w:cstheme="majorBidi"/>
          <w:sz w:val="24"/>
          <w:szCs w:val="24"/>
        </w:rPr>
        <w:t>ailable design as far as petrol consumption is concerned</w:t>
      </w:r>
      <w:r w:rsidR="008D38D4" w:rsidRPr="00C138A8">
        <w:rPr>
          <w:rFonts w:asciiTheme="majorBidi" w:hAnsiTheme="majorBidi" w:cstheme="majorBidi"/>
          <w:sz w:val="24"/>
          <w:szCs w:val="24"/>
        </w:rPr>
        <w:t>. The fact that Tunisia does not hold sizeable oil reserves and that its refining industry only supplies a part of its domestic demand highlights the importance of curbing fuel consumption; an issue that should be pushed to the fore of national agendas.</w:t>
      </w:r>
      <w:r w:rsidR="003D5794" w:rsidRPr="00C138A8">
        <w:rPr>
          <w:rFonts w:asciiTheme="majorBidi" w:hAnsiTheme="majorBidi" w:cstheme="majorBidi"/>
          <w:sz w:val="24"/>
          <w:szCs w:val="24"/>
        </w:rPr>
        <w:t xml:space="preserve"> It is worth mentioning that the noticea</w:t>
      </w:r>
      <w:r w:rsidR="00F7471B" w:rsidRPr="00C138A8">
        <w:rPr>
          <w:rFonts w:asciiTheme="majorBidi" w:hAnsiTheme="majorBidi" w:cstheme="majorBidi"/>
          <w:sz w:val="24"/>
          <w:szCs w:val="24"/>
        </w:rPr>
        <w:t>ble drop in petrol consumption</w:t>
      </w:r>
      <w:r w:rsidR="003D5794" w:rsidRPr="00C138A8">
        <w:rPr>
          <w:rFonts w:asciiTheme="majorBidi" w:hAnsiTheme="majorBidi" w:cstheme="majorBidi"/>
          <w:sz w:val="24"/>
          <w:szCs w:val="24"/>
        </w:rPr>
        <w:t xml:space="preserve"> in 2006 can be attributed to the 2006 8.9% increase </w:t>
      </w:r>
      <w:r w:rsidR="00DD3BA6" w:rsidRPr="00C138A8">
        <w:rPr>
          <w:rFonts w:asciiTheme="majorBidi" w:hAnsiTheme="majorBidi" w:cstheme="majorBidi"/>
          <w:sz w:val="24"/>
          <w:szCs w:val="24"/>
        </w:rPr>
        <w:t xml:space="preserve">in fuel prices reported by </w:t>
      </w:r>
      <w:r w:rsidR="003410F4" w:rsidRPr="00C138A8">
        <w:rPr>
          <w:rFonts w:asciiTheme="majorBidi" w:hAnsiTheme="majorBidi" w:cstheme="majorBidi"/>
          <w:sz w:val="24"/>
          <w:szCs w:val="24"/>
        </w:rPr>
        <w:t>the OECD (2014)</w:t>
      </w:r>
      <w:r w:rsidR="00F7471B" w:rsidRPr="00C138A8">
        <w:rPr>
          <w:rFonts w:asciiTheme="majorBidi" w:hAnsiTheme="majorBidi" w:cstheme="majorBidi"/>
          <w:sz w:val="24"/>
          <w:szCs w:val="24"/>
        </w:rPr>
        <w:t xml:space="preserve">. In Tunisia, fuel consumption in absolute terms is affected considerably by fuel prices due to the widespread public transportation in comparison to other Middle-Eastern countries. Above ground metro fully covers Tunis the capital and some other cities. Other cities enjoy wide coverage of both public and private bus networks that cater to the needs of different societal segments. In the industrial city of Sfax motorbikes are a common incidence among </w:t>
      </w:r>
      <w:r w:rsidR="00DD3BA6" w:rsidRPr="00C138A8">
        <w:rPr>
          <w:rFonts w:asciiTheme="majorBidi" w:hAnsiTheme="majorBidi" w:cstheme="majorBidi"/>
          <w:sz w:val="24"/>
          <w:szCs w:val="24"/>
        </w:rPr>
        <w:t xml:space="preserve">both </w:t>
      </w:r>
      <w:r w:rsidR="00F7471B" w:rsidRPr="00C138A8">
        <w:rPr>
          <w:rFonts w:asciiTheme="majorBidi" w:hAnsiTheme="majorBidi" w:cstheme="majorBidi"/>
          <w:sz w:val="24"/>
          <w:szCs w:val="24"/>
        </w:rPr>
        <w:t>male and female commuters.</w:t>
      </w:r>
    </w:p>
    <w:p w14:paraId="558696D0" w14:textId="577EA1A6" w:rsidR="005C50BE" w:rsidRDefault="00BF1F2E" w:rsidP="00474AE8">
      <w:pPr>
        <w:rPr>
          <w:rFonts w:asciiTheme="majorBidi" w:hAnsiTheme="majorBidi" w:cstheme="majorBidi"/>
          <w:sz w:val="24"/>
          <w:szCs w:val="24"/>
        </w:rPr>
      </w:pPr>
      <w:r>
        <w:rPr>
          <w:rFonts w:asciiTheme="majorBidi" w:hAnsiTheme="majorBidi" w:cstheme="majorBidi"/>
          <w:sz w:val="24"/>
          <w:szCs w:val="24"/>
        </w:rPr>
        <w:t>4 by 4 LDVs and many other luxury ones</w:t>
      </w:r>
      <w:r w:rsidR="005C50BE">
        <w:rPr>
          <w:rFonts w:asciiTheme="majorBidi" w:hAnsiTheme="majorBidi" w:cstheme="majorBidi"/>
          <w:sz w:val="24"/>
          <w:szCs w:val="24"/>
        </w:rPr>
        <w:t xml:space="preserve"> run on the energy efficient diesel fuel, where a retail infrastruc</w:t>
      </w:r>
      <w:r>
        <w:rPr>
          <w:rFonts w:asciiTheme="majorBidi" w:hAnsiTheme="majorBidi" w:cstheme="majorBidi"/>
          <w:sz w:val="24"/>
          <w:szCs w:val="24"/>
        </w:rPr>
        <w:t xml:space="preserve">ture supports this </w:t>
      </w:r>
      <w:r w:rsidR="003412DB">
        <w:rPr>
          <w:rFonts w:asciiTheme="majorBidi" w:hAnsiTheme="majorBidi" w:cstheme="majorBidi"/>
          <w:sz w:val="24"/>
          <w:szCs w:val="24"/>
        </w:rPr>
        <w:t>portion that</w:t>
      </w:r>
      <w:r w:rsidR="00F545F1">
        <w:rPr>
          <w:rFonts w:asciiTheme="majorBidi" w:hAnsiTheme="majorBidi" w:cstheme="majorBidi"/>
          <w:sz w:val="24"/>
          <w:szCs w:val="24"/>
        </w:rPr>
        <w:t xml:space="preserve"> lies</w:t>
      </w:r>
      <w:r w:rsidR="005C50BE">
        <w:rPr>
          <w:rFonts w:asciiTheme="majorBidi" w:hAnsiTheme="majorBidi" w:cstheme="majorBidi"/>
          <w:sz w:val="24"/>
          <w:szCs w:val="24"/>
        </w:rPr>
        <w:t xml:space="preserve"> outside the quota system</w:t>
      </w:r>
      <w:r>
        <w:rPr>
          <w:rFonts w:asciiTheme="majorBidi" w:hAnsiTheme="majorBidi" w:cstheme="majorBidi"/>
          <w:sz w:val="24"/>
          <w:szCs w:val="24"/>
        </w:rPr>
        <w:t>,</w:t>
      </w:r>
      <w:r w:rsidR="005C50BE">
        <w:rPr>
          <w:rFonts w:asciiTheme="majorBidi" w:hAnsiTheme="majorBidi" w:cstheme="majorBidi"/>
          <w:sz w:val="24"/>
          <w:szCs w:val="24"/>
        </w:rPr>
        <w:t xml:space="preserve"> indicating a sound policy decision on part of the Tunisian government. It also points to the presence, among Tunisian LDVs owners, of a level of fuel-efficiency consciousness. </w:t>
      </w:r>
    </w:p>
    <w:p w14:paraId="27549D68" w14:textId="77777777" w:rsidR="00BC6ED5" w:rsidRDefault="00F545F1" w:rsidP="00BC6ED5">
      <w:pPr>
        <w:rPr>
          <w:rFonts w:asciiTheme="majorBidi" w:hAnsiTheme="majorBidi" w:cstheme="majorBidi"/>
          <w:sz w:val="24"/>
          <w:szCs w:val="24"/>
        </w:rPr>
      </w:pPr>
      <w:r>
        <w:rPr>
          <w:rFonts w:asciiTheme="majorBidi" w:hAnsiTheme="majorBidi" w:cstheme="majorBidi"/>
          <w:sz w:val="24"/>
          <w:szCs w:val="24"/>
        </w:rPr>
        <w:t>The existing room for fu</w:t>
      </w:r>
      <w:r w:rsidR="005506AC">
        <w:rPr>
          <w:rFonts w:asciiTheme="majorBidi" w:hAnsiTheme="majorBidi" w:cstheme="majorBidi"/>
          <w:sz w:val="24"/>
          <w:szCs w:val="24"/>
        </w:rPr>
        <w:t>el consumption improvement discussed earlier meets with a salient need for Tunisia to limit as much as possible the levels of fuel consumption in absolute terms.</w:t>
      </w:r>
      <w:r w:rsidR="00A94993">
        <w:rPr>
          <w:rFonts w:asciiTheme="majorBidi" w:hAnsiTheme="majorBidi" w:cstheme="majorBidi"/>
          <w:sz w:val="24"/>
          <w:szCs w:val="24"/>
        </w:rPr>
        <w:t xml:space="preserve"> That</w:t>
      </w:r>
      <w:r w:rsidR="00060668">
        <w:rPr>
          <w:rFonts w:asciiTheme="majorBidi" w:hAnsiTheme="majorBidi" w:cstheme="majorBidi"/>
          <w:sz w:val="24"/>
          <w:szCs w:val="24"/>
        </w:rPr>
        <w:t xml:space="preserve"> Tunisia</w:t>
      </w:r>
      <w:r w:rsidR="00A94993">
        <w:rPr>
          <w:rFonts w:asciiTheme="majorBidi" w:hAnsiTheme="majorBidi" w:cstheme="majorBidi"/>
          <w:sz w:val="24"/>
          <w:szCs w:val="24"/>
        </w:rPr>
        <w:t xml:space="preserve"> relies for the most part on imports for satisfying its domestic demand on refined oil products</w:t>
      </w:r>
      <w:r w:rsidR="00DD3BA6">
        <w:rPr>
          <w:rFonts w:asciiTheme="majorBidi" w:hAnsiTheme="majorBidi" w:cstheme="majorBidi"/>
          <w:sz w:val="24"/>
          <w:szCs w:val="24"/>
        </w:rPr>
        <w:t xml:space="preserve"> </w:t>
      </w:r>
      <w:r w:rsidR="000464B5">
        <w:rPr>
          <w:rFonts w:asciiTheme="majorBidi" w:hAnsiTheme="majorBidi" w:cstheme="majorBidi"/>
          <w:sz w:val="24"/>
          <w:szCs w:val="24"/>
        </w:rPr>
        <w:t>accentuate</w:t>
      </w:r>
      <w:r w:rsidR="00DD3BA6">
        <w:rPr>
          <w:rFonts w:asciiTheme="majorBidi" w:hAnsiTheme="majorBidi" w:cstheme="majorBidi"/>
          <w:sz w:val="24"/>
          <w:szCs w:val="24"/>
        </w:rPr>
        <w:t xml:space="preserve"> the importance of that need.</w:t>
      </w:r>
      <w:r w:rsidR="00A94993">
        <w:rPr>
          <w:rFonts w:asciiTheme="majorBidi" w:hAnsiTheme="majorBidi" w:cstheme="majorBidi"/>
          <w:sz w:val="24"/>
          <w:szCs w:val="24"/>
        </w:rPr>
        <w:t xml:space="preserve">  </w:t>
      </w:r>
      <w:r w:rsidR="005506AC">
        <w:rPr>
          <w:rFonts w:asciiTheme="majorBidi" w:hAnsiTheme="majorBidi" w:cstheme="majorBidi"/>
          <w:sz w:val="24"/>
          <w:szCs w:val="24"/>
        </w:rPr>
        <w:t xml:space="preserve">Some of the GFEI fuel economy policy instruments </w:t>
      </w:r>
      <w:r w:rsidR="00BC6ED5">
        <w:rPr>
          <w:rFonts w:asciiTheme="majorBidi" w:hAnsiTheme="majorBidi" w:cstheme="majorBidi"/>
          <w:sz w:val="24"/>
          <w:szCs w:val="24"/>
        </w:rPr>
        <w:t>are already partially in effect i</w:t>
      </w:r>
      <w:r w:rsidR="005506AC">
        <w:rPr>
          <w:rFonts w:asciiTheme="majorBidi" w:hAnsiTheme="majorBidi" w:cstheme="majorBidi"/>
          <w:sz w:val="24"/>
          <w:szCs w:val="24"/>
        </w:rPr>
        <w:t>n Tunisia. T</w:t>
      </w:r>
      <w:r w:rsidR="005506AC" w:rsidRPr="005506AC">
        <w:rPr>
          <w:rFonts w:asciiTheme="majorBidi" w:hAnsiTheme="majorBidi" w:cstheme="majorBidi"/>
          <w:sz w:val="24"/>
          <w:szCs w:val="24"/>
        </w:rPr>
        <w:t>he policy environment is</w:t>
      </w:r>
      <w:r w:rsidR="005506AC">
        <w:rPr>
          <w:rFonts w:asciiTheme="majorBidi" w:hAnsiTheme="majorBidi" w:cstheme="majorBidi"/>
          <w:sz w:val="24"/>
          <w:szCs w:val="24"/>
        </w:rPr>
        <w:t xml:space="preserve"> therefore</w:t>
      </w:r>
      <w:r w:rsidR="005506AC" w:rsidRPr="005506AC">
        <w:rPr>
          <w:rFonts w:asciiTheme="majorBidi" w:hAnsiTheme="majorBidi" w:cstheme="majorBidi"/>
          <w:sz w:val="24"/>
          <w:szCs w:val="24"/>
        </w:rPr>
        <w:t xml:space="preserve"> set for desi</w:t>
      </w:r>
      <w:r w:rsidR="005506AC">
        <w:rPr>
          <w:rFonts w:asciiTheme="majorBidi" w:hAnsiTheme="majorBidi" w:cstheme="majorBidi"/>
          <w:sz w:val="24"/>
          <w:szCs w:val="24"/>
        </w:rPr>
        <w:t>gned improvement in fuel consumption via integrating fuel criteria into t</w:t>
      </w:r>
      <w:r w:rsidR="00635F84">
        <w:rPr>
          <w:rFonts w:asciiTheme="majorBidi" w:hAnsiTheme="majorBidi" w:cstheme="majorBidi"/>
          <w:sz w:val="24"/>
          <w:szCs w:val="24"/>
        </w:rPr>
        <w:t>he existing import restrictions and vehicle taxation</w:t>
      </w:r>
      <w:r w:rsidR="00D07392">
        <w:rPr>
          <w:rFonts w:asciiTheme="majorBidi" w:hAnsiTheme="majorBidi" w:cstheme="majorBidi"/>
          <w:sz w:val="24"/>
          <w:szCs w:val="24"/>
        </w:rPr>
        <w:t xml:space="preserve"> and duties instruments</w:t>
      </w:r>
      <w:r w:rsidR="005506AC" w:rsidRPr="005506AC">
        <w:rPr>
          <w:rFonts w:asciiTheme="majorBidi" w:hAnsiTheme="majorBidi" w:cstheme="majorBidi"/>
          <w:sz w:val="24"/>
          <w:szCs w:val="24"/>
        </w:rPr>
        <w:t>.</w:t>
      </w:r>
    </w:p>
    <w:p w14:paraId="74276237" w14:textId="77777777" w:rsidR="001872E7" w:rsidRDefault="001872E7" w:rsidP="001872E7">
      <w:pPr>
        <w:rPr>
          <w:rFonts w:asciiTheme="majorBidi" w:hAnsiTheme="majorBidi" w:cstheme="majorBidi"/>
          <w:sz w:val="24"/>
          <w:szCs w:val="24"/>
        </w:rPr>
      </w:pPr>
      <w:r>
        <w:rPr>
          <w:rFonts w:asciiTheme="majorBidi" w:hAnsiTheme="majorBidi" w:cstheme="majorBidi"/>
          <w:sz w:val="24"/>
          <w:szCs w:val="24"/>
        </w:rPr>
        <w:t>The stepping stone to meeting the goal of accruing fuel savings</w:t>
      </w:r>
      <w:r w:rsidR="00AD7F4D">
        <w:rPr>
          <w:rFonts w:asciiTheme="majorBidi" w:hAnsiTheme="majorBidi" w:cstheme="majorBidi"/>
          <w:sz w:val="24"/>
          <w:szCs w:val="24"/>
        </w:rPr>
        <w:t xml:space="preserve"> </w:t>
      </w:r>
      <w:r>
        <w:rPr>
          <w:rFonts w:asciiTheme="majorBidi" w:hAnsiTheme="majorBidi" w:cstheme="majorBidi"/>
          <w:sz w:val="24"/>
          <w:szCs w:val="24"/>
        </w:rPr>
        <w:t>is the introduction</w:t>
      </w:r>
      <w:r w:rsidR="00AD7F4D">
        <w:rPr>
          <w:rFonts w:asciiTheme="majorBidi" w:hAnsiTheme="majorBidi" w:cstheme="majorBidi"/>
          <w:sz w:val="24"/>
          <w:szCs w:val="24"/>
        </w:rPr>
        <w:t xml:space="preserve"> of locally tailored fuel consumption/economy standards</w:t>
      </w:r>
      <w:r w:rsidR="007A11A5">
        <w:rPr>
          <w:rFonts w:asciiTheme="majorBidi" w:hAnsiTheme="majorBidi" w:cstheme="majorBidi"/>
          <w:sz w:val="24"/>
          <w:szCs w:val="24"/>
        </w:rPr>
        <w:t xml:space="preserve"> linked to specified targets for curbing the year by year increasing number of LDVs on the road and confining motor fuel consumption to sustainable levels</w:t>
      </w:r>
      <w:r w:rsidR="00AD7F4D">
        <w:rPr>
          <w:rFonts w:asciiTheme="majorBidi" w:hAnsiTheme="majorBidi" w:cstheme="majorBidi"/>
          <w:sz w:val="24"/>
          <w:szCs w:val="24"/>
        </w:rPr>
        <w:t xml:space="preserve">. The standards must be integrated into wider state-level plans </w:t>
      </w:r>
      <w:r w:rsidR="00060668">
        <w:rPr>
          <w:rFonts w:asciiTheme="majorBidi" w:hAnsiTheme="majorBidi" w:cstheme="majorBidi"/>
          <w:sz w:val="24"/>
          <w:szCs w:val="24"/>
        </w:rPr>
        <w:t xml:space="preserve">for </w:t>
      </w:r>
      <w:r w:rsidR="00060668">
        <w:rPr>
          <w:rFonts w:asciiTheme="majorBidi" w:hAnsiTheme="majorBidi" w:cstheme="majorBidi"/>
          <w:sz w:val="24"/>
          <w:szCs w:val="24"/>
        </w:rPr>
        <w:lastRenderedPageBreak/>
        <w:t>sustainable growth</w:t>
      </w:r>
      <w:r w:rsidR="007A11A5">
        <w:rPr>
          <w:rFonts w:asciiTheme="majorBidi" w:hAnsiTheme="majorBidi" w:cstheme="majorBidi"/>
          <w:sz w:val="24"/>
          <w:szCs w:val="24"/>
        </w:rPr>
        <w:t>; maintaining and enhancing the green image of Tunisia in the region;</w:t>
      </w:r>
      <w:r w:rsidR="00060668">
        <w:rPr>
          <w:rFonts w:asciiTheme="majorBidi" w:hAnsiTheme="majorBidi" w:cstheme="majorBidi"/>
          <w:sz w:val="24"/>
          <w:szCs w:val="24"/>
        </w:rPr>
        <w:t xml:space="preserve"> curbing trade deficits</w:t>
      </w:r>
      <w:r w:rsidR="007A11A5">
        <w:rPr>
          <w:rFonts w:asciiTheme="majorBidi" w:hAnsiTheme="majorBidi" w:cstheme="majorBidi"/>
          <w:sz w:val="24"/>
          <w:szCs w:val="24"/>
        </w:rPr>
        <w:t>,</w:t>
      </w:r>
      <w:r w:rsidR="00DD3BA6">
        <w:rPr>
          <w:rFonts w:asciiTheme="majorBidi" w:hAnsiTheme="majorBidi" w:cstheme="majorBidi"/>
          <w:sz w:val="24"/>
          <w:szCs w:val="24"/>
        </w:rPr>
        <w:t xml:space="preserve"> and </w:t>
      </w:r>
      <w:r w:rsidR="00F479D4">
        <w:rPr>
          <w:rFonts w:asciiTheme="majorBidi" w:hAnsiTheme="majorBidi" w:cstheme="majorBidi"/>
          <w:sz w:val="24"/>
          <w:szCs w:val="24"/>
        </w:rPr>
        <w:t xml:space="preserve">promoting </w:t>
      </w:r>
      <w:r w:rsidR="00DD3BA6">
        <w:rPr>
          <w:rFonts w:asciiTheme="majorBidi" w:hAnsiTheme="majorBidi" w:cstheme="majorBidi"/>
          <w:sz w:val="24"/>
          <w:szCs w:val="24"/>
        </w:rPr>
        <w:t xml:space="preserve">social </w:t>
      </w:r>
      <w:r w:rsidR="008526FA">
        <w:rPr>
          <w:rFonts w:asciiTheme="majorBidi" w:hAnsiTheme="majorBidi" w:cstheme="majorBidi"/>
          <w:sz w:val="24"/>
          <w:szCs w:val="24"/>
        </w:rPr>
        <w:t>harmony</w:t>
      </w:r>
      <w:r w:rsidR="00DD3BA6">
        <w:rPr>
          <w:rFonts w:asciiTheme="majorBidi" w:hAnsiTheme="majorBidi" w:cstheme="majorBidi"/>
          <w:sz w:val="24"/>
          <w:szCs w:val="24"/>
        </w:rPr>
        <w:t>.</w:t>
      </w:r>
      <w:r>
        <w:rPr>
          <w:rFonts w:asciiTheme="majorBidi" w:hAnsiTheme="majorBidi" w:cstheme="majorBidi"/>
          <w:sz w:val="24"/>
          <w:szCs w:val="24"/>
        </w:rPr>
        <w:t xml:space="preserve"> </w:t>
      </w:r>
    </w:p>
    <w:p w14:paraId="25EFC41B" w14:textId="77777777" w:rsidR="00DD3BA6" w:rsidRDefault="00DD3BA6" w:rsidP="001872E7">
      <w:pPr>
        <w:rPr>
          <w:rFonts w:asciiTheme="majorBidi" w:hAnsiTheme="majorBidi" w:cstheme="majorBidi"/>
          <w:sz w:val="24"/>
          <w:szCs w:val="24"/>
        </w:rPr>
      </w:pPr>
      <w:r>
        <w:rPr>
          <w:rFonts w:asciiTheme="majorBidi" w:hAnsiTheme="majorBidi" w:cstheme="majorBidi"/>
          <w:sz w:val="24"/>
          <w:szCs w:val="24"/>
        </w:rPr>
        <w:t xml:space="preserve">The flourishing civil society in the aftermath of the Jasmine revolution inserts another variable that has to </w:t>
      </w:r>
      <w:r w:rsidR="00F479D4">
        <w:rPr>
          <w:rFonts w:asciiTheme="majorBidi" w:hAnsiTheme="majorBidi" w:cstheme="majorBidi"/>
          <w:sz w:val="24"/>
          <w:szCs w:val="24"/>
        </w:rPr>
        <w:t xml:space="preserve">be </w:t>
      </w:r>
      <w:r>
        <w:rPr>
          <w:rFonts w:asciiTheme="majorBidi" w:hAnsiTheme="majorBidi" w:cstheme="majorBidi"/>
          <w:sz w:val="24"/>
          <w:szCs w:val="24"/>
        </w:rPr>
        <w:t>dealt with, that is the increased democratization</w:t>
      </w:r>
      <w:r w:rsidR="007A11A5">
        <w:rPr>
          <w:rFonts w:asciiTheme="majorBidi" w:hAnsiTheme="majorBidi" w:cstheme="majorBidi"/>
          <w:sz w:val="24"/>
          <w:szCs w:val="24"/>
        </w:rPr>
        <w:t xml:space="preserve"> of Tunisia where popular demands must be adequately addressed. In that context,</w:t>
      </w:r>
      <w:r w:rsidR="00E275D0">
        <w:rPr>
          <w:rFonts w:asciiTheme="majorBidi" w:hAnsiTheme="majorBidi" w:cstheme="majorBidi"/>
          <w:sz w:val="24"/>
          <w:szCs w:val="24"/>
        </w:rPr>
        <w:t xml:space="preserve"> enhancing the availability and sustainability of the transportation sector should act as a stabilizing condition that could create a win-win situation vis-à-vis the popular demands for going </w:t>
      </w:r>
      <w:r w:rsidR="008526FA">
        <w:rPr>
          <w:rFonts w:asciiTheme="majorBidi" w:hAnsiTheme="majorBidi" w:cstheme="majorBidi"/>
          <w:sz w:val="24"/>
          <w:szCs w:val="24"/>
        </w:rPr>
        <w:t>upmarket as regards the LDVs models available in Tunisia.</w:t>
      </w:r>
      <w:r w:rsidR="00E275D0">
        <w:rPr>
          <w:rFonts w:asciiTheme="majorBidi" w:hAnsiTheme="majorBidi" w:cstheme="majorBidi"/>
          <w:sz w:val="24"/>
          <w:szCs w:val="24"/>
        </w:rPr>
        <w:t xml:space="preserve"> </w:t>
      </w:r>
    </w:p>
    <w:p w14:paraId="7A42F77A" w14:textId="77777777" w:rsidR="00D0181E" w:rsidRDefault="00D0181E" w:rsidP="001872E7">
      <w:pPr>
        <w:rPr>
          <w:rFonts w:asciiTheme="majorBidi" w:hAnsiTheme="majorBidi" w:cstheme="majorBidi"/>
          <w:sz w:val="24"/>
          <w:szCs w:val="24"/>
        </w:rPr>
      </w:pPr>
      <w:r>
        <w:rPr>
          <w:rFonts w:asciiTheme="majorBidi" w:hAnsiTheme="majorBidi" w:cstheme="majorBidi"/>
          <w:sz w:val="24"/>
          <w:szCs w:val="24"/>
        </w:rPr>
        <w:t xml:space="preserve">Developing effective fuel economy/consumption standards must be viewed as </w:t>
      </w:r>
      <w:r w:rsidR="000464B5">
        <w:rPr>
          <w:rFonts w:asciiTheme="majorBidi" w:hAnsiTheme="majorBidi" w:cstheme="majorBidi"/>
          <w:sz w:val="24"/>
          <w:szCs w:val="24"/>
        </w:rPr>
        <w:t xml:space="preserve">a </w:t>
      </w:r>
      <w:r>
        <w:rPr>
          <w:rFonts w:asciiTheme="majorBidi" w:hAnsiTheme="majorBidi" w:cstheme="majorBidi"/>
          <w:sz w:val="24"/>
          <w:szCs w:val="24"/>
        </w:rPr>
        <w:t xml:space="preserve">vehicle towards the attainment of the aforementioned goals and hence they must </w:t>
      </w:r>
      <w:r w:rsidR="000464B5">
        <w:rPr>
          <w:rFonts w:asciiTheme="majorBidi" w:hAnsiTheme="majorBidi" w:cstheme="majorBidi"/>
          <w:sz w:val="24"/>
          <w:szCs w:val="24"/>
        </w:rPr>
        <w:t xml:space="preserve">be crafted in line with the particular Tunisian case. Enabling conditions in terms </w:t>
      </w:r>
      <w:r w:rsidR="005F35A6">
        <w:rPr>
          <w:rFonts w:asciiTheme="majorBidi" w:hAnsiTheme="majorBidi" w:cstheme="majorBidi"/>
          <w:sz w:val="24"/>
          <w:szCs w:val="24"/>
        </w:rPr>
        <w:t>of the presence of a fuel economy/consumption favorable</w:t>
      </w:r>
      <w:r w:rsidR="000464B5">
        <w:rPr>
          <w:rFonts w:asciiTheme="majorBidi" w:hAnsiTheme="majorBidi" w:cstheme="majorBidi"/>
          <w:sz w:val="24"/>
          <w:szCs w:val="24"/>
        </w:rPr>
        <w:t xml:space="preserve"> </w:t>
      </w:r>
      <w:r w:rsidR="005F35A6">
        <w:rPr>
          <w:rFonts w:asciiTheme="majorBidi" w:hAnsiTheme="majorBidi" w:cstheme="majorBidi"/>
          <w:sz w:val="24"/>
          <w:szCs w:val="24"/>
        </w:rPr>
        <w:t>policy environment poke</w:t>
      </w:r>
      <w:r w:rsidR="000464B5">
        <w:rPr>
          <w:rFonts w:asciiTheme="majorBidi" w:hAnsiTheme="majorBidi" w:cstheme="majorBidi"/>
          <w:sz w:val="24"/>
          <w:szCs w:val="24"/>
        </w:rPr>
        <w:t xml:space="preserve"> the starting point of standards development a few steps up the ladder</w:t>
      </w:r>
      <w:r w:rsidR="005F35A6">
        <w:rPr>
          <w:rFonts w:asciiTheme="majorBidi" w:hAnsiTheme="majorBidi" w:cstheme="majorBidi"/>
          <w:sz w:val="24"/>
          <w:szCs w:val="24"/>
        </w:rPr>
        <w:t xml:space="preserve">. </w:t>
      </w:r>
      <w:r w:rsidR="00BF1F72">
        <w:rPr>
          <w:rFonts w:asciiTheme="majorBidi" w:hAnsiTheme="majorBidi" w:cstheme="majorBidi"/>
          <w:sz w:val="24"/>
          <w:szCs w:val="24"/>
        </w:rPr>
        <w:t xml:space="preserve"> Further, something akin to a fuel consumption/efficiency criteria is in Tunisia as it is since Tunisian regulators laid the ground for an increasing share  of the more fuel efficient diesel LDVs when it comes to the luxury market segment.</w:t>
      </w:r>
    </w:p>
    <w:p w14:paraId="48B34DCD" w14:textId="171622B1" w:rsidR="003412DB" w:rsidRDefault="005F35A6" w:rsidP="001872E7">
      <w:pPr>
        <w:rPr>
          <w:rFonts w:asciiTheme="majorBidi" w:hAnsiTheme="majorBidi" w:cstheme="majorBidi"/>
          <w:sz w:val="24"/>
          <w:szCs w:val="24"/>
        </w:rPr>
      </w:pPr>
      <w:r>
        <w:rPr>
          <w:rFonts w:asciiTheme="majorBidi" w:hAnsiTheme="majorBidi" w:cstheme="majorBidi"/>
          <w:sz w:val="24"/>
          <w:szCs w:val="24"/>
        </w:rPr>
        <w:t>The point of departure must be the development of local Tunisian driving cycle since the driving patterns and behavior, commuting distances, road topography are significantly different from those upon which the New European  Driving Cycle and the American CAFÉ are based. The point</w:t>
      </w:r>
      <w:r w:rsidR="00085E03">
        <w:rPr>
          <w:rFonts w:asciiTheme="majorBidi" w:hAnsiTheme="majorBidi" w:cstheme="majorBidi"/>
          <w:sz w:val="24"/>
          <w:szCs w:val="24"/>
        </w:rPr>
        <w:t xml:space="preserve"> is to ensure that testing the manufacturers’ fuel economy/consumption data match Tunisian driving, and to circumvent errors in estimations of actual fuel savings that arise from inconsistencies between manufactured labeled fuel consumption/economy and actual figures.</w:t>
      </w:r>
    </w:p>
    <w:p w14:paraId="51E0A037" w14:textId="3882A9BC" w:rsidR="00085E03" w:rsidRDefault="0010228C" w:rsidP="001872E7">
      <w:pPr>
        <w:rPr>
          <w:rFonts w:asciiTheme="majorBidi" w:hAnsiTheme="majorBidi" w:cstheme="majorBidi"/>
          <w:sz w:val="24"/>
          <w:szCs w:val="24"/>
        </w:rPr>
      </w:pPr>
      <w:r>
        <w:rPr>
          <w:rFonts w:asciiTheme="majorBidi" w:hAnsiTheme="majorBidi" w:cstheme="majorBidi"/>
          <w:sz w:val="24"/>
          <w:szCs w:val="24"/>
        </w:rPr>
        <w:t xml:space="preserve">Tunisia has no automotive manufacturing industry- barring automotive components manufacturing for European </w:t>
      </w:r>
      <w:r w:rsidR="00C138A8">
        <w:rPr>
          <w:rFonts w:asciiTheme="majorBidi" w:hAnsiTheme="majorBidi" w:cstheme="majorBidi"/>
          <w:sz w:val="24"/>
          <w:szCs w:val="24"/>
        </w:rPr>
        <w:t>car makers</w:t>
      </w:r>
      <w:r>
        <w:rPr>
          <w:rFonts w:asciiTheme="majorBidi" w:hAnsiTheme="majorBidi" w:cstheme="majorBidi"/>
          <w:sz w:val="24"/>
          <w:szCs w:val="24"/>
        </w:rPr>
        <w:t>. Lacking an automotive industry can be turned into quite an advantage when it comes to fuel consumption/economy standards. One reason is the absence of political leverage wielded by the automotive industry in other</w:t>
      </w:r>
      <w:r w:rsidR="00BD0435">
        <w:rPr>
          <w:rFonts w:asciiTheme="majorBidi" w:hAnsiTheme="majorBidi" w:cstheme="majorBidi"/>
          <w:sz w:val="24"/>
          <w:szCs w:val="24"/>
        </w:rPr>
        <w:t xml:space="preserve"> places, which puts limits on </w:t>
      </w:r>
      <w:r w:rsidR="00220ECE">
        <w:rPr>
          <w:rFonts w:asciiTheme="majorBidi" w:hAnsiTheme="majorBidi" w:cstheme="majorBidi"/>
          <w:sz w:val="24"/>
          <w:szCs w:val="24"/>
        </w:rPr>
        <w:t>the design of fuel consumption/economy standards. Another is the opportunity to learn from the shortcomings of standards applied elsewhere.</w:t>
      </w:r>
      <w:r w:rsidR="00F55957">
        <w:rPr>
          <w:rFonts w:asciiTheme="majorBidi" w:hAnsiTheme="majorBidi" w:cstheme="majorBidi"/>
          <w:sz w:val="24"/>
          <w:szCs w:val="24"/>
        </w:rPr>
        <w:t xml:space="preserve"> </w:t>
      </w:r>
    </w:p>
    <w:p w14:paraId="316F4F33" w14:textId="77777777" w:rsidR="00F55957" w:rsidRDefault="00F55957" w:rsidP="001872E7">
      <w:pPr>
        <w:rPr>
          <w:rFonts w:asciiTheme="majorBidi" w:hAnsiTheme="majorBidi" w:cstheme="majorBidi"/>
          <w:sz w:val="24"/>
          <w:szCs w:val="24"/>
        </w:rPr>
      </w:pPr>
      <w:r>
        <w:rPr>
          <w:rFonts w:asciiTheme="majorBidi" w:hAnsiTheme="majorBidi" w:cstheme="majorBidi"/>
          <w:sz w:val="24"/>
          <w:szCs w:val="24"/>
        </w:rPr>
        <w:t>A more effective approach, which could be suitable for the Tunisian case, would be basing the standards</w:t>
      </w:r>
      <w:r w:rsidR="00FC5BA6">
        <w:rPr>
          <w:rFonts w:asciiTheme="majorBidi" w:hAnsiTheme="majorBidi" w:cstheme="majorBidi"/>
          <w:sz w:val="24"/>
          <w:szCs w:val="24"/>
        </w:rPr>
        <w:t>’ classification</w:t>
      </w:r>
      <w:r>
        <w:rPr>
          <w:rFonts w:asciiTheme="majorBidi" w:hAnsiTheme="majorBidi" w:cstheme="majorBidi"/>
          <w:sz w:val="24"/>
          <w:szCs w:val="24"/>
        </w:rPr>
        <w:t xml:space="preserve"> on a host of factors of which the prime</w:t>
      </w:r>
      <w:r w:rsidR="005D40E5">
        <w:rPr>
          <w:rFonts w:asciiTheme="majorBidi" w:hAnsiTheme="majorBidi" w:cstheme="majorBidi"/>
          <w:sz w:val="24"/>
          <w:szCs w:val="24"/>
        </w:rPr>
        <w:t xml:space="preserve"> one</w:t>
      </w:r>
      <w:r w:rsidR="00387897">
        <w:rPr>
          <w:rFonts w:asciiTheme="majorBidi" w:hAnsiTheme="majorBidi" w:cstheme="majorBidi"/>
          <w:sz w:val="24"/>
          <w:szCs w:val="24"/>
        </w:rPr>
        <w:t>s are</w:t>
      </w:r>
      <w:r>
        <w:rPr>
          <w:rFonts w:asciiTheme="majorBidi" w:hAnsiTheme="majorBidi" w:cstheme="majorBidi"/>
          <w:sz w:val="24"/>
          <w:szCs w:val="24"/>
        </w:rPr>
        <w:t xml:space="preserve"> the technological attributes of the engine</w:t>
      </w:r>
      <w:r w:rsidR="005D40E5">
        <w:rPr>
          <w:rFonts w:asciiTheme="majorBidi" w:hAnsiTheme="majorBidi" w:cstheme="majorBidi"/>
          <w:sz w:val="24"/>
          <w:szCs w:val="24"/>
        </w:rPr>
        <w:t>, discussed in previous sections, along</w:t>
      </w:r>
      <w:r w:rsidR="00102E28">
        <w:rPr>
          <w:rFonts w:asciiTheme="majorBidi" w:hAnsiTheme="majorBidi" w:cstheme="majorBidi"/>
          <w:sz w:val="24"/>
          <w:szCs w:val="24"/>
        </w:rPr>
        <w:t xml:space="preserve"> with </w:t>
      </w:r>
      <w:r w:rsidR="005D40E5">
        <w:rPr>
          <w:rFonts w:asciiTheme="majorBidi" w:hAnsiTheme="majorBidi" w:cstheme="majorBidi"/>
          <w:sz w:val="24"/>
          <w:szCs w:val="24"/>
        </w:rPr>
        <w:t>total mass and</w:t>
      </w:r>
      <w:r w:rsidR="00FC5BA6">
        <w:rPr>
          <w:rFonts w:asciiTheme="majorBidi" w:hAnsiTheme="majorBidi" w:cstheme="majorBidi"/>
          <w:sz w:val="24"/>
          <w:szCs w:val="24"/>
        </w:rPr>
        <w:t xml:space="preserve"> other factors.</w:t>
      </w:r>
      <w:r w:rsidR="00102E28">
        <w:rPr>
          <w:rFonts w:asciiTheme="majorBidi" w:hAnsiTheme="majorBidi" w:cstheme="majorBidi"/>
          <w:sz w:val="24"/>
          <w:szCs w:val="24"/>
        </w:rPr>
        <w:t xml:space="preserve"> Relative weights can be assigned to each factor.</w:t>
      </w:r>
    </w:p>
    <w:p w14:paraId="163E1C9D" w14:textId="77777777" w:rsidR="007F45F1" w:rsidRDefault="00387897" w:rsidP="00580381">
      <w:pPr>
        <w:rPr>
          <w:rFonts w:asciiTheme="majorBidi" w:hAnsiTheme="majorBidi" w:cstheme="majorBidi"/>
          <w:sz w:val="24"/>
          <w:szCs w:val="24"/>
        </w:rPr>
      </w:pPr>
      <w:r>
        <w:rPr>
          <w:rFonts w:asciiTheme="majorBidi" w:hAnsiTheme="majorBidi" w:cstheme="majorBidi"/>
          <w:sz w:val="24"/>
          <w:szCs w:val="24"/>
        </w:rPr>
        <w:t>Applying fuel consumption/economy standards might</w:t>
      </w:r>
      <w:r w:rsidR="00722E10">
        <w:rPr>
          <w:rFonts w:asciiTheme="majorBidi" w:hAnsiTheme="majorBidi" w:cstheme="majorBidi"/>
          <w:sz w:val="24"/>
          <w:szCs w:val="24"/>
        </w:rPr>
        <w:t xml:space="preserve"> lead to increased prices of quota</w:t>
      </w:r>
      <w:r>
        <w:rPr>
          <w:rFonts w:asciiTheme="majorBidi" w:hAnsiTheme="majorBidi" w:cstheme="majorBidi"/>
          <w:sz w:val="24"/>
          <w:szCs w:val="24"/>
        </w:rPr>
        <w:t xml:space="preserve"> cars </w:t>
      </w:r>
      <w:r w:rsidR="00722E10">
        <w:rPr>
          <w:rFonts w:asciiTheme="majorBidi" w:hAnsiTheme="majorBidi" w:cstheme="majorBidi"/>
          <w:sz w:val="24"/>
          <w:szCs w:val="24"/>
        </w:rPr>
        <w:t xml:space="preserve">due to opting for more technologically sophisticated </w:t>
      </w:r>
      <w:r w:rsidR="005B1EE2">
        <w:rPr>
          <w:rFonts w:asciiTheme="majorBidi" w:hAnsiTheme="majorBidi" w:cstheme="majorBidi"/>
          <w:sz w:val="24"/>
          <w:szCs w:val="24"/>
        </w:rPr>
        <w:t xml:space="preserve">variants and </w:t>
      </w:r>
      <w:r w:rsidR="00722E10">
        <w:rPr>
          <w:rFonts w:asciiTheme="majorBidi" w:hAnsiTheme="majorBidi" w:cstheme="majorBidi"/>
          <w:sz w:val="24"/>
          <w:szCs w:val="24"/>
        </w:rPr>
        <w:t xml:space="preserve">models </w:t>
      </w:r>
      <w:r w:rsidR="005B1EE2">
        <w:rPr>
          <w:rFonts w:asciiTheme="majorBidi" w:hAnsiTheme="majorBidi" w:cstheme="majorBidi"/>
          <w:sz w:val="24"/>
          <w:szCs w:val="24"/>
        </w:rPr>
        <w:t>with ensued increases in prices</w:t>
      </w:r>
      <w:r w:rsidR="005D73AA">
        <w:rPr>
          <w:rFonts w:asciiTheme="majorBidi" w:hAnsiTheme="majorBidi" w:cstheme="majorBidi"/>
          <w:sz w:val="24"/>
          <w:szCs w:val="24"/>
        </w:rPr>
        <w:t>-albeit it could partly stem some of</w:t>
      </w:r>
      <w:r w:rsidR="00635AA6">
        <w:rPr>
          <w:rFonts w:asciiTheme="majorBidi" w:hAnsiTheme="majorBidi" w:cstheme="majorBidi"/>
          <w:sz w:val="24"/>
          <w:szCs w:val="24"/>
        </w:rPr>
        <w:t xml:space="preserve"> the consumers’ dissatisfaction with the current quota </w:t>
      </w:r>
      <w:r w:rsidR="00580381">
        <w:rPr>
          <w:rFonts w:asciiTheme="majorBidi" w:hAnsiTheme="majorBidi" w:cstheme="majorBidi"/>
          <w:sz w:val="24"/>
          <w:szCs w:val="24"/>
        </w:rPr>
        <w:t>system.</w:t>
      </w:r>
      <w:r w:rsidR="007F45F1">
        <w:rPr>
          <w:rFonts w:asciiTheme="majorBidi" w:hAnsiTheme="majorBidi" w:cstheme="majorBidi"/>
          <w:sz w:val="24"/>
          <w:szCs w:val="24"/>
        </w:rPr>
        <w:t xml:space="preserve"> Tunisia has made strides in the introduction of high quality fuels, eliminating a potential barrier to the introduction of LDVs with more efficient technologies.</w:t>
      </w:r>
    </w:p>
    <w:p w14:paraId="473D962D" w14:textId="77777777" w:rsidR="00F615EB" w:rsidRDefault="00F615EB" w:rsidP="000F22FC">
      <w:pPr>
        <w:rPr>
          <w:rFonts w:asciiTheme="majorBidi" w:hAnsiTheme="majorBidi" w:cstheme="majorBidi"/>
          <w:sz w:val="24"/>
          <w:szCs w:val="24"/>
        </w:rPr>
      </w:pPr>
    </w:p>
    <w:p w14:paraId="20B706D4" w14:textId="77777777" w:rsidR="00F615EB" w:rsidRDefault="00F615EB" w:rsidP="000F22FC">
      <w:pPr>
        <w:rPr>
          <w:rFonts w:asciiTheme="majorBidi" w:hAnsiTheme="majorBidi" w:cstheme="majorBidi"/>
          <w:sz w:val="24"/>
          <w:szCs w:val="24"/>
        </w:rPr>
      </w:pPr>
    </w:p>
    <w:p w14:paraId="100D21F8" w14:textId="0F8A4569" w:rsidR="000F22FC" w:rsidRDefault="005B1EE2" w:rsidP="000F22FC">
      <w:pPr>
        <w:rPr>
          <w:rFonts w:asciiTheme="majorBidi" w:hAnsiTheme="majorBidi" w:cstheme="majorBidi"/>
          <w:sz w:val="24"/>
          <w:szCs w:val="24"/>
        </w:rPr>
      </w:pPr>
      <w:r>
        <w:rPr>
          <w:rFonts w:asciiTheme="majorBidi" w:hAnsiTheme="majorBidi" w:cstheme="majorBidi"/>
          <w:sz w:val="24"/>
          <w:szCs w:val="24"/>
        </w:rPr>
        <w:t>The increased burden on trade balance can be offset by savings in fuel imports, provided that standar</w:t>
      </w:r>
      <w:r w:rsidR="00437396">
        <w:rPr>
          <w:rFonts w:asciiTheme="majorBidi" w:hAnsiTheme="majorBidi" w:cstheme="majorBidi"/>
          <w:sz w:val="24"/>
          <w:szCs w:val="24"/>
        </w:rPr>
        <w:t xml:space="preserve">ds are deftly crafted in connection with identifiable savings in fuel consumption relative to way things presently are. </w:t>
      </w:r>
      <w:r w:rsidR="003F0F5D">
        <w:rPr>
          <w:rFonts w:asciiTheme="majorBidi" w:hAnsiTheme="majorBidi" w:cstheme="majorBidi"/>
          <w:sz w:val="24"/>
          <w:szCs w:val="24"/>
        </w:rPr>
        <w:t xml:space="preserve">Hence a holistic </w:t>
      </w:r>
      <w:r w:rsidR="005C2D6E">
        <w:rPr>
          <w:rFonts w:asciiTheme="majorBidi" w:hAnsiTheme="majorBidi" w:cstheme="majorBidi"/>
          <w:sz w:val="24"/>
          <w:szCs w:val="24"/>
        </w:rPr>
        <w:t xml:space="preserve">scenario tackling political, trade and local industry aspects </w:t>
      </w:r>
      <w:r w:rsidR="003F0F5D">
        <w:rPr>
          <w:rFonts w:asciiTheme="majorBidi" w:hAnsiTheme="majorBidi" w:cstheme="majorBidi"/>
          <w:sz w:val="24"/>
          <w:szCs w:val="24"/>
        </w:rPr>
        <w:t>related to the application of fuel consumption/efficiency standards must be set. It</w:t>
      </w:r>
      <w:r w:rsidR="005D73AA">
        <w:rPr>
          <w:rFonts w:asciiTheme="majorBidi" w:hAnsiTheme="majorBidi" w:cstheme="majorBidi"/>
          <w:sz w:val="24"/>
          <w:szCs w:val="24"/>
        </w:rPr>
        <w:t xml:space="preserve"> should accommodate plans for sustainable transportation and consu</w:t>
      </w:r>
      <w:r w:rsidR="00635AA6">
        <w:rPr>
          <w:rFonts w:asciiTheme="majorBidi" w:hAnsiTheme="majorBidi" w:cstheme="majorBidi"/>
          <w:sz w:val="24"/>
          <w:szCs w:val="24"/>
        </w:rPr>
        <w:t xml:space="preserve">mers’ </w:t>
      </w:r>
      <w:r w:rsidR="005D73AA">
        <w:rPr>
          <w:rFonts w:asciiTheme="majorBidi" w:hAnsiTheme="majorBidi" w:cstheme="majorBidi"/>
          <w:sz w:val="24"/>
          <w:szCs w:val="24"/>
        </w:rPr>
        <w:t>satisfaction</w:t>
      </w:r>
      <w:r w:rsidR="00635AA6">
        <w:rPr>
          <w:rFonts w:asciiTheme="majorBidi" w:hAnsiTheme="majorBidi" w:cstheme="majorBidi"/>
          <w:sz w:val="24"/>
          <w:szCs w:val="24"/>
        </w:rPr>
        <w:t>.</w:t>
      </w:r>
    </w:p>
    <w:p w14:paraId="62DCDA45" w14:textId="77777777" w:rsidR="0071017A" w:rsidRPr="000F22FC" w:rsidRDefault="0071017A" w:rsidP="005506AC">
      <w:pPr>
        <w:rPr>
          <w:rFonts w:asciiTheme="majorBidi" w:hAnsiTheme="majorBidi" w:cstheme="majorBidi"/>
          <w:b/>
          <w:bCs/>
          <w:i/>
          <w:iCs/>
          <w:sz w:val="24"/>
          <w:szCs w:val="24"/>
        </w:rPr>
      </w:pPr>
      <w:r w:rsidRPr="000F22FC">
        <w:rPr>
          <w:rFonts w:asciiTheme="majorBidi" w:hAnsiTheme="majorBidi" w:cstheme="majorBidi"/>
          <w:b/>
          <w:bCs/>
          <w:i/>
          <w:iCs/>
          <w:sz w:val="24"/>
          <w:szCs w:val="24"/>
        </w:rPr>
        <w:t>Recommendations</w:t>
      </w:r>
      <w:r w:rsidR="008526FA" w:rsidRPr="000F22FC">
        <w:rPr>
          <w:rFonts w:asciiTheme="majorBidi" w:hAnsiTheme="majorBidi" w:cstheme="majorBidi"/>
          <w:b/>
          <w:bCs/>
          <w:i/>
          <w:iCs/>
          <w:sz w:val="24"/>
          <w:szCs w:val="24"/>
        </w:rPr>
        <w:t xml:space="preserve"> for Fuel economy/consumption standards in Tunisia</w:t>
      </w:r>
    </w:p>
    <w:p w14:paraId="4DAE653A" w14:textId="77777777" w:rsidR="006C7D17" w:rsidRDefault="0005184D" w:rsidP="0005184D">
      <w:pPr>
        <w:pStyle w:val="ListParagraph"/>
        <w:numPr>
          <w:ilvl w:val="0"/>
          <w:numId w:val="2"/>
        </w:numPr>
        <w:rPr>
          <w:rFonts w:asciiTheme="majorBidi" w:hAnsiTheme="majorBidi" w:cstheme="majorBidi"/>
          <w:sz w:val="24"/>
          <w:szCs w:val="24"/>
        </w:rPr>
      </w:pPr>
      <w:r>
        <w:rPr>
          <w:rFonts w:asciiTheme="majorBidi" w:hAnsiTheme="majorBidi" w:cstheme="majorBidi"/>
          <w:b/>
          <w:bCs/>
          <w:sz w:val="24"/>
          <w:szCs w:val="24"/>
        </w:rPr>
        <w:t xml:space="preserve">The establishment of a multi-stakeholder resident committee at the ministry of energy or trade. </w:t>
      </w:r>
      <w:r w:rsidRPr="00580381">
        <w:rPr>
          <w:rFonts w:asciiTheme="majorBidi" w:hAnsiTheme="majorBidi" w:cstheme="majorBidi"/>
          <w:sz w:val="24"/>
          <w:szCs w:val="24"/>
        </w:rPr>
        <w:t xml:space="preserve">The committee must include representatives from domestic automotive components industry, </w:t>
      </w:r>
      <w:r w:rsidR="00580381" w:rsidRPr="00580381">
        <w:rPr>
          <w:rFonts w:asciiTheme="majorBidi" w:hAnsiTheme="majorBidi" w:cstheme="majorBidi"/>
          <w:sz w:val="24"/>
          <w:szCs w:val="24"/>
        </w:rPr>
        <w:t>the national statistics agency</w:t>
      </w:r>
      <w:r w:rsidR="00580381">
        <w:rPr>
          <w:rFonts w:asciiTheme="majorBidi" w:hAnsiTheme="majorBidi" w:cstheme="majorBidi"/>
          <w:sz w:val="24"/>
          <w:szCs w:val="24"/>
        </w:rPr>
        <w:t xml:space="preserve">, and high caliber international fuel markets experts, trade and energy policy makers, technical automotive engineers, and automotive markets consultants. The committee should be assigned the task of preparing a roadmap </w:t>
      </w:r>
      <w:r w:rsidR="006C7D17">
        <w:rPr>
          <w:rFonts w:asciiTheme="majorBidi" w:hAnsiTheme="majorBidi" w:cstheme="majorBidi"/>
          <w:sz w:val="24"/>
          <w:szCs w:val="24"/>
        </w:rPr>
        <w:t>for the preparation and introduction of fuel consumption/economy standards.</w:t>
      </w:r>
    </w:p>
    <w:p w14:paraId="366E4BF2" w14:textId="77777777" w:rsidR="0005184D" w:rsidRPr="004D2E0E" w:rsidRDefault="00580381" w:rsidP="0005184D">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 </w:t>
      </w:r>
      <w:r w:rsidR="00736029" w:rsidRPr="00736029">
        <w:rPr>
          <w:rFonts w:asciiTheme="majorBidi" w:hAnsiTheme="majorBidi" w:cstheme="majorBidi"/>
          <w:b/>
          <w:bCs/>
          <w:sz w:val="24"/>
          <w:szCs w:val="24"/>
        </w:rPr>
        <w:t>Drawing on international experience and expertise</w:t>
      </w:r>
      <w:r w:rsidR="00736029">
        <w:rPr>
          <w:rFonts w:asciiTheme="majorBidi" w:hAnsiTheme="majorBidi" w:cstheme="majorBidi"/>
          <w:b/>
          <w:bCs/>
          <w:sz w:val="24"/>
          <w:szCs w:val="24"/>
        </w:rPr>
        <w:t xml:space="preserve">. </w:t>
      </w:r>
      <w:r w:rsidR="004D2E0E">
        <w:rPr>
          <w:rFonts w:asciiTheme="majorBidi" w:hAnsiTheme="majorBidi" w:cstheme="majorBidi"/>
          <w:sz w:val="24"/>
          <w:szCs w:val="24"/>
        </w:rPr>
        <w:t xml:space="preserve">The GFEI </w:t>
      </w:r>
      <w:r w:rsidR="000F22FC" w:rsidRPr="000F22FC">
        <w:rPr>
          <w:rFonts w:asciiTheme="majorBidi" w:hAnsiTheme="majorBidi" w:cstheme="majorBidi"/>
          <w:sz w:val="24"/>
          <w:szCs w:val="24"/>
        </w:rPr>
        <w:t>has accumulated a wealth of technical and planning experiences with respect to fuel consumption/efficiency standards, their implementation, and impacts</w:t>
      </w:r>
      <w:r w:rsidR="000F22FC">
        <w:rPr>
          <w:rFonts w:asciiTheme="majorBidi" w:hAnsiTheme="majorBidi" w:cstheme="majorBidi"/>
          <w:b/>
          <w:bCs/>
          <w:sz w:val="24"/>
          <w:szCs w:val="24"/>
        </w:rPr>
        <w:t xml:space="preserve">. </w:t>
      </w:r>
      <w:r w:rsidR="000F22FC" w:rsidRPr="004D2E0E">
        <w:rPr>
          <w:rFonts w:asciiTheme="majorBidi" w:hAnsiTheme="majorBidi" w:cstheme="majorBidi"/>
          <w:sz w:val="24"/>
          <w:szCs w:val="24"/>
        </w:rPr>
        <w:t xml:space="preserve">It is therefore the entity best equipped and resourced to support the abovementioned resident committee in </w:t>
      </w:r>
      <w:r w:rsidR="004D2E0E" w:rsidRPr="004D2E0E">
        <w:rPr>
          <w:rFonts w:asciiTheme="majorBidi" w:hAnsiTheme="majorBidi" w:cstheme="majorBidi"/>
          <w:sz w:val="24"/>
          <w:szCs w:val="24"/>
        </w:rPr>
        <w:t xml:space="preserve">materializing </w:t>
      </w:r>
      <w:r w:rsidR="004D2E0E">
        <w:rPr>
          <w:rFonts w:asciiTheme="majorBidi" w:hAnsiTheme="majorBidi" w:cstheme="majorBidi"/>
          <w:sz w:val="24"/>
          <w:szCs w:val="24"/>
        </w:rPr>
        <w:t>the roadmap into a comprehensive action plan for developing, implementing fuel consumption/economy standards serving towards the end of curbing Tunisian fuel consumption in absolute terms. It should play a consultative role star</w:t>
      </w:r>
      <w:r w:rsidR="00DC40FA">
        <w:rPr>
          <w:rFonts w:asciiTheme="majorBidi" w:hAnsiTheme="majorBidi" w:cstheme="majorBidi"/>
          <w:sz w:val="24"/>
          <w:szCs w:val="24"/>
        </w:rPr>
        <w:t>ting from</w:t>
      </w:r>
      <w:r w:rsidR="004D2E0E">
        <w:rPr>
          <w:rFonts w:asciiTheme="majorBidi" w:hAnsiTheme="majorBidi" w:cstheme="majorBidi"/>
          <w:sz w:val="24"/>
          <w:szCs w:val="24"/>
        </w:rPr>
        <w:t xml:space="preserve"> the inception phase of </w:t>
      </w:r>
      <w:r w:rsidR="00DC40FA">
        <w:rPr>
          <w:rFonts w:asciiTheme="majorBidi" w:hAnsiTheme="majorBidi" w:cstheme="majorBidi"/>
          <w:sz w:val="24"/>
          <w:szCs w:val="24"/>
        </w:rPr>
        <w:t xml:space="preserve">the </w:t>
      </w:r>
      <w:r w:rsidR="004D2E0E">
        <w:rPr>
          <w:rFonts w:asciiTheme="majorBidi" w:hAnsiTheme="majorBidi" w:cstheme="majorBidi"/>
          <w:sz w:val="24"/>
          <w:szCs w:val="24"/>
        </w:rPr>
        <w:t>resident committee.</w:t>
      </w:r>
      <w:r w:rsidR="004D2E0E" w:rsidRPr="004D2E0E">
        <w:rPr>
          <w:rFonts w:asciiTheme="majorBidi" w:hAnsiTheme="majorBidi" w:cstheme="majorBidi"/>
          <w:sz w:val="24"/>
          <w:szCs w:val="24"/>
        </w:rPr>
        <w:t xml:space="preserve"> </w:t>
      </w:r>
      <w:r w:rsidR="00BD3EC3">
        <w:rPr>
          <w:rFonts w:asciiTheme="majorBidi" w:hAnsiTheme="majorBidi" w:cstheme="majorBidi"/>
          <w:sz w:val="24"/>
          <w:szCs w:val="24"/>
        </w:rPr>
        <w:t>This starts by determining the data gaps and the required studies for arriving at accurate information about driving patterns and behaviors, commute distances at an encompassing national level. Second, t</w:t>
      </w:r>
      <w:r w:rsidR="00DC40FA">
        <w:rPr>
          <w:rFonts w:asciiTheme="majorBidi" w:hAnsiTheme="majorBidi" w:cstheme="majorBidi"/>
          <w:sz w:val="24"/>
          <w:szCs w:val="24"/>
        </w:rPr>
        <w:t>he GFEI should support the establishment of different scenarios for fuel consumption/economy standards, ones that account for urban expansion and transportation plans, political sensitivities</w:t>
      </w:r>
      <w:r w:rsidR="00BD3EC3">
        <w:rPr>
          <w:rFonts w:asciiTheme="majorBidi" w:hAnsiTheme="majorBidi" w:cstheme="majorBidi"/>
          <w:sz w:val="24"/>
          <w:szCs w:val="24"/>
        </w:rPr>
        <w:t>, business and macroeconomic considerations.</w:t>
      </w:r>
    </w:p>
    <w:p w14:paraId="40644FA4" w14:textId="77777777" w:rsidR="00F545F1" w:rsidRPr="00764106" w:rsidRDefault="00F545F1" w:rsidP="00474AE8">
      <w:pPr>
        <w:rPr>
          <w:rFonts w:asciiTheme="majorBidi" w:hAnsiTheme="majorBidi" w:cstheme="majorBidi"/>
          <w:sz w:val="24"/>
          <w:szCs w:val="24"/>
        </w:rPr>
      </w:pPr>
    </w:p>
    <w:p w14:paraId="6350206A" w14:textId="77777777" w:rsidR="000622D9" w:rsidRPr="0094635D" w:rsidRDefault="000622D9" w:rsidP="00F462D4">
      <w:pPr>
        <w:rPr>
          <w:rFonts w:asciiTheme="majorBidi" w:hAnsiTheme="majorBidi" w:cstheme="majorBidi"/>
          <w:sz w:val="24"/>
          <w:szCs w:val="24"/>
        </w:rPr>
      </w:pPr>
    </w:p>
    <w:p w14:paraId="6F20F4B1" w14:textId="77777777" w:rsidR="003412DB" w:rsidRDefault="003412DB">
      <w:pPr>
        <w:jc w:val="left"/>
        <w:rPr>
          <w:rFonts w:asciiTheme="majorBidi" w:hAnsiTheme="majorBidi" w:cstheme="majorBidi"/>
          <w:b/>
          <w:bCs/>
          <w:sz w:val="24"/>
          <w:szCs w:val="24"/>
        </w:rPr>
      </w:pPr>
      <w:r>
        <w:rPr>
          <w:rFonts w:asciiTheme="majorBidi" w:hAnsiTheme="majorBidi" w:cstheme="majorBidi"/>
          <w:b/>
          <w:bCs/>
          <w:sz w:val="24"/>
          <w:szCs w:val="24"/>
        </w:rPr>
        <w:br w:type="page"/>
      </w:r>
    </w:p>
    <w:p w14:paraId="13F87A8C" w14:textId="469577C7" w:rsidR="001817B1" w:rsidRDefault="001270BE" w:rsidP="00FD5F32">
      <w:pPr>
        <w:rPr>
          <w:rFonts w:asciiTheme="majorBidi" w:hAnsiTheme="majorBidi" w:cstheme="majorBidi"/>
          <w:b/>
          <w:bCs/>
          <w:sz w:val="24"/>
          <w:szCs w:val="24"/>
        </w:rPr>
      </w:pPr>
      <w:r w:rsidRPr="001270BE">
        <w:rPr>
          <w:rFonts w:asciiTheme="majorBidi" w:hAnsiTheme="majorBidi" w:cstheme="majorBidi"/>
          <w:b/>
          <w:bCs/>
          <w:sz w:val="24"/>
          <w:szCs w:val="24"/>
        </w:rPr>
        <w:lastRenderedPageBreak/>
        <w:t>References List</w:t>
      </w:r>
    </w:p>
    <w:p w14:paraId="3E81FFE3" w14:textId="77777777" w:rsidR="00684668" w:rsidRPr="00684668" w:rsidRDefault="00684668" w:rsidP="00684668">
      <w:pPr>
        <w:pStyle w:val="ListParagraph"/>
        <w:numPr>
          <w:ilvl w:val="0"/>
          <w:numId w:val="7"/>
        </w:numPr>
        <w:rPr>
          <w:rFonts w:asciiTheme="majorBidi" w:hAnsiTheme="majorBidi" w:cstheme="majorBidi"/>
          <w:i/>
          <w:iCs/>
          <w:sz w:val="24"/>
          <w:szCs w:val="24"/>
        </w:rPr>
      </w:pPr>
      <w:r>
        <w:rPr>
          <w:rFonts w:asciiTheme="majorBidi" w:hAnsiTheme="majorBidi" w:cstheme="majorBidi"/>
          <w:sz w:val="24"/>
          <w:szCs w:val="24"/>
        </w:rPr>
        <w:t xml:space="preserve">Center for Climate and Energy Solutions (C2ES). (2014). Federal Vehicles Standards. Available at: </w:t>
      </w:r>
      <w:hyperlink r:id="rId25" w:history="1">
        <w:r w:rsidRPr="00311DAB">
          <w:rPr>
            <w:rStyle w:val="Hyperlink"/>
            <w:rFonts w:asciiTheme="majorBidi" w:hAnsiTheme="majorBidi" w:cstheme="majorBidi"/>
            <w:sz w:val="24"/>
            <w:szCs w:val="24"/>
          </w:rPr>
          <w:t>http://www.c2es.org/federal/executive/vehicle-standards</w:t>
        </w:r>
      </w:hyperlink>
      <w:r>
        <w:rPr>
          <w:rFonts w:asciiTheme="majorBidi" w:hAnsiTheme="majorBidi" w:cstheme="majorBidi"/>
          <w:sz w:val="24"/>
          <w:szCs w:val="24"/>
        </w:rPr>
        <w:t>. Accessed: September 10</w:t>
      </w:r>
      <w:r>
        <w:rPr>
          <w:rFonts w:asciiTheme="majorBidi" w:hAnsiTheme="majorBidi" w:cstheme="majorBidi"/>
          <w:sz w:val="24"/>
          <w:szCs w:val="24"/>
          <w:vertAlign w:val="superscript"/>
        </w:rPr>
        <w:t>th</w:t>
      </w:r>
      <w:r>
        <w:rPr>
          <w:rFonts w:asciiTheme="majorBidi" w:hAnsiTheme="majorBidi" w:cstheme="majorBidi"/>
          <w:sz w:val="24"/>
          <w:szCs w:val="24"/>
        </w:rPr>
        <w:t xml:space="preserve">, 2014. </w:t>
      </w:r>
    </w:p>
    <w:p w14:paraId="1C4275B1" w14:textId="77777777" w:rsidR="001270BE" w:rsidRPr="006449C0" w:rsidRDefault="00312531" w:rsidP="00312531">
      <w:pPr>
        <w:pStyle w:val="ListParagraph"/>
        <w:numPr>
          <w:ilvl w:val="0"/>
          <w:numId w:val="7"/>
        </w:numPr>
        <w:rPr>
          <w:rFonts w:asciiTheme="majorBidi" w:hAnsiTheme="majorBidi" w:cstheme="majorBidi"/>
          <w:i/>
          <w:iCs/>
          <w:sz w:val="24"/>
          <w:szCs w:val="24"/>
        </w:rPr>
      </w:pPr>
      <w:r>
        <w:rPr>
          <w:rFonts w:asciiTheme="majorBidi" w:hAnsiTheme="majorBidi" w:cstheme="majorBidi"/>
          <w:sz w:val="24"/>
          <w:szCs w:val="24"/>
        </w:rPr>
        <w:t xml:space="preserve">Central Intelligence Agency: Tunisia (2014). Available at: </w:t>
      </w:r>
      <w:hyperlink r:id="rId26" w:history="1">
        <w:r w:rsidRPr="00311DAB">
          <w:rPr>
            <w:rStyle w:val="Hyperlink"/>
            <w:rFonts w:asciiTheme="majorBidi" w:hAnsiTheme="majorBidi" w:cstheme="majorBidi"/>
            <w:sz w:val="24"/>
            <w:szCs w:val="24"/>
          </w:rPr>
          <w:t>https://www.cia.gov/library/publications/the-world-factbook/geos/ts.html</w:t>
        </w:r>
      </w:hyperlink>
      <w:r>
        <w:rPr>
          <w:rFonts w:asciiTheme="majorBidi" w:hAnsiTheme="majorBidi" w:cstheme="majorBidi"/>
          <w:sz w:val="24"/>
          <w:szCs w:val="24"/>
        </w:rPr>
        <w:t xml:space="preserve">. Accessed: </w:t>
      </w:r>
      <w:r w:rsidR="006449C0">
        <w:rPr>
          <w:rFonts w:asciiTheme="majorBidi" w:hAnsiTheme="majorBidi" w:cstheme="majorBidi"/>
          <w:sz w:val="24"/>
          <w:szCs w:val="24"/>
        </w:rPr>
        <w:t>July 29</w:t>
      </w:r>
      <w:r w:rsidR="006449C0" w:rsidRPr="006449C0">
        <w:rPr>
          <w:rFonts w:asciiTheme="majorBidi" w:hAnsiTheme="majorBidi" w:cstheme="majorBidi"/>
          <w:sz w:val="24"/>
          <w:szCs w:val="24"/>
          <w:vertAlign w:val="superscript"/>
        </w:rPr>
        <w:t>th</w:t>
      </w:r>
      <w:r w:rsidR="006449C0">
        <w:rPr>
          <w:rFonts w:asciiTheme="majorBidi" w:hAnsiTheme="majorBidi" w:cstheme="majorBidi"/>
          <w:sz w:val="24"/>
          <w:szCs w:val="24"/>
        </w:rPr>
        <w:t>, 2014.</w:t>
      </w:r>
    </w:p>
    <w:p w14:paraId="3CA9D30E" w14:textId="77777777" w:rsidR="006449C0" w:rsidRPr="006449C0" w:rsidRDefault="006449C0" w:rsidP="006449C0">
      <w:pPr>
        <w:pStyle w:val="ListParagraph"/>
        <w:numPr>
          <w:ilvl w:val="0"/>
          <w:numId w:val="7"/>
        </w:numPr>
        <w:rPr>
          <w:rFonts w:asciiTheme="majorBidi" w:hAnsiTheme="majorBidi" w:cstheme="majorBidi"/>
          <w:i/>
          <w:iCs/>
          <w:sz w:val="24"/>
          <w:szCs w:val="24"/>
        </w:rPr>
      </w:pPr>
      <w:r>
        <w:rPr>
          <w:rFonts w:asciiTheme="majorBidi" w:hAnsiTheme="majorBidi" w:cstheme="majorBidi"/>
          <w:sz w:val="24"/>
          <w:szCs w:val="24"/>
        </w:rPr>
        <w:t xml:space="preserve">Central Intelligence Agency: Morocco (2014). Available at: </w:t>
      </w:r>
      <w:hyperlink r:id="rId27" w:history="1">
        <w:r w:rsidRPr="00311DAB">
          <w:rPr>
            <w:rStyle w:val="Hyperlink"/>
            <w:rFonts w:asciiTheme="majorBidi" w:hAnsiTheme="majorBidi" w:cstheme="majorBidi"/>
            <w:sz w:val="24"/>
            <w:szCs w:val="24"/>
          </w:rPr>
          <w:t>https://www.cia.gov/library/publications/the-world-factbook/geos/mo.html</w:t>
        </w:r>
      </w:hyperlink>
      <w:r>
        <w:rPr>
          <w:rFonts w:asciiTheme="majorBidi" w:hAnsiTheme="majorBidi" w:cstheme="majorBidi"/>
          <w:sz w:val="24"/>
          <w:szCs w:val="24"/>
        </w:rPr>
        <w:t>. Accessed: August 3</w:t>
      </w:r>
      <w:r>
        <w:rPr>
          <w:rFonts w:asciiTheme="majorBidi" w:hAnsiTheme="majorBidi" w:cstheme="majorBidi"/>
          <w:sz w:val="24"/>
          <w:szCs w:val="24"/>
          <w:vertAlign w:val="superscript"/>
        </w:rPr>
        <w:t>rd</w:t>
      </w:r>
      <w:r>
        <w:rPr>
          <w:rFonts w:asciiTheme="majorBidi" w:hAnsiTheme="majorBidi" w:cstheme="majorBidi"/>
          <w:sz w:val="24"/>
          <w:szCs w:val="24"/>
        </w:rPr>
        <w:t>, 2014</w:t>
      </w:r>
    </w:p>
    <w:p w14:paraId="5A128C10" w14:textId="77777777" w:rsidR="006449C0" w:rsidRPr="00684668" w:rsidRDefault="006449C0" w:rsidP="006449C0">
      <w:pPr>
        <w:pStyle w:val="ListParagraph"/>
        <w:numPr>
          <w:ilvl w:val="0"/>
          <w:numId w:val="7"/>
        </w:numPr>
        <w:rPr>
          <w:rFonts w:asciiTheme="majorBidi" w:hAnsiTheme="majorBidi" w:cstheme="majorBidi"/>
          <w:i/>
          <w:iCs/>
          <w:sz w:val="24"/>
          <w:szCs w:val="24"/>
        </w:rPr>
      </w:pPr>
      <w:r>
        <w:rPr>
          <w:rFonts w:asciiTheme="majorBidi" w:hAnsiTheme="majorBidi" w:cstheme="majorBidi"/>
          <w:sz w:val="24"/>
          <w:szCs w:val="24"/>
        </w:rPr>
        <w:t xml:space="preserve">Central Intelligence Agency: Egypt (2014). Available at: </w:t>
      </w:r>
      <w:hyperlink r:id="rId28" w:history="1">
        <w:r w:rsidRPr="00311DAB">
          <w:rPr>
            <w:rStyle w:val="Hyperlink"/>
            <w:rFonts w:asciiTheme="majorBidi" w:hAnsiTheme="majorBidi" w:cstheme="majorBidi"/>
            <w:sz w:val="24"/>
            <w:szCs w:val="24"/>
          </w:rPr>
          <w:t>https://www.cia.gov/library/publications/the-world-factbook/geos/mo.html</w:t>
        </w:r>
      </w:hyperlink>
      <w:r>
        <w:rPr>
          <w:rFonts w:asciiTheme="majorBidi" w:hAnsiTheme="majorBidi" w:cstheme="majorBidi"/>
          <w:sz w:val="24"/>
          <w:szCs w:val="24"/>
        </w:rPr>
        <w:t>. August 5</w:t>
      </w:r>
      <w:r>
        <w:rPr>
          <w:rFonts w:asciiTheme="majorBidi" w:hAnsiTheme="majorBidi" w:cstheme="majorBidi"/>
          <w:sz w:val="24"/>
          <w:szCs w:val="24"/>
          <w:vertAlign w:val="superscript"/>
        </w:rPr>
        <w:t>th</w:t>
      </w:r>
      <w:r>
        <w:rPr>
          <w:rFonts w:asciiTheme="majorBidi" w:hAnsiTheme="majorBidi" w:cstheme="majorBidi"/>
          <w:sz w:val="24"/>
          <w:szCs w:val="24"/>
        </w:rPr>
        <w:t>, 2014.</w:t>
      </w:r>
    </w:p>
    <w:p w14:paraId="1203DB30" w14:textId="20B66017" w:rsidR="00684668" w:rsidRPr="00C138A8" w:rsidRDefault="00684668" w:rsidP="00C138A8">
      <w:pPr>
        <w:pStyle w:val="ListParagraph"/>
        <w:numPr>
          <w:ilvl w:val="0"/>
          <w:numId w:val="7"/>
        </w:numPr>
        <w:rPr>
          <w:rFonts w:asciiTheme="majorBidi" w:hAnsiTheme="majorBidi" w:cstheme="majorBidi"/>
          <w:i/>
          <w:iCs/>
          <w:sz w:val="24"/>
          <w:szCs w:val="24"/>
        </w:rPr>
      </w:pPr>
      <w:r>
        <w:rPr>
          <w:rFonts w:asciiTheme="majorBidi" w:hAnsiTheme="majorBidi" w:cstheme="majorBidi"/>
          <w:sz w:val="24"/>
          <w:szCs w:val="24"/>
        </w:rPr>
        <w:t xml:space="preserve">Chiaberge, Marcello (2011). </w:t>
      </w:r>
      <w:r w:rsidRPr="005759F7">
        <w:rPr>
          <w:rFonts w:asciiTheme="majorBidi" w:hAnsiTheme="majorBidi" w:cstheme="majorBidi"/>
          <w:i/>
          <w:iCs/>
          <w:sz w:val="24"/>
          <w:szCs w:val="24"/>
        </w:rPr>
        <w:t>New Trends and Developments in Automotive System Engineering</w:t>
      </w:r>
      <w:r>
        <w:rPr>
          <w:rFonts w:asciiTheme="majorBidi" w:hAnsiTheme="majorBidi" w:cstheme="majorBidi"/>
          <w:i/>
          <w:iCs/>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Intech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Rejeka</w:t>
      </w:r>
      <w:proofErr w:type="spellEnd"/>
      <w:r>
        <w:rPr>
          <w:rFonts w:asciiTheme="majorBidi" w:hAnsiTheme="majorBidi" w:cstheme="majorBidi"/>
          <w:sz w:val="24"/>
          <w:szCs w:val="24"/>
        </w:rPr>
        <w:t xml:space="preserve">. </w:t>
      </w:r>
    </w:p>
    <w:p w14:paraId="38FC6FB8" w14:textId="77777777" w:rsidR="006449C0" w:rsidRPr="00C63750" w:rsidRDefault="00C63750" w:rsidP="00C63750">
      <w:pPr>
        <w:pStyle w:val="ListParagraph"/>
        <w:numPr>
          <w:ilvl w:val="0"/>
          <w:numId w:val="7"/>
        </w:numPr>
        <w:rPr>
          <w:rFonts w:asciiTheme="majorBidi" w:hAnsiTheme="majorBidi" w:cstheme="majorBidi"/>
          <w:i/>
          <w:iCs/>
          <w:sz w:val="24"/>
          <w:szCs w:val="24"/>
        </w:rPr>
      </w:pPr>
      <w:r w:rsidRPr="00C63750">
        <w:rPr>
          <w:rFonts w:asciiTheme="majorBidi" w:hAnsiTheme="majorBidi" w:cstheme="majorBidi"/>
          <w:sz w:val="24"/>
          <w:szCs w:val="24"/>
        </w:rPr>
        <w:t>Globa</w:t>
      </w:r>
      <w:r>
        <w:rPr>
          <w:rFonts w:asciiTheme="majorBidi" w:hAnsiTheme="majorBidi" w:cstheme="majorBidi"/>
          <w:sz w:val="24"/>
          <w:szCs w:val="24"/>
        </w:rPr>
        <w:t>l Fuel Economy Initiative, 2013</w:t>
      </w:r>
      <w:r w:rsidRPr="00C63750">
        <w:rPr>
          <w:rFonts w:asciiTheme="majorBidi" w:hAnsiTheme="majorBidi" w:cstheme="majorBidi"/>
          <w:sz w:val="24"/>
          <w:szCs w:val="24"/>
        </w:rPr>
        <w:t>. Global Fue</w:t>
      </w:r>
      <w:r>
        <w:rPr>
          <w:rFonts w:asciiTheme="majorBidi" w:hAnsiTheme="majorBidi" w:cstheme="majorBidi"/>
          <w:sz w:val="24"/>
          <w:szCs w:val="24"/>
        </w:rPr>
        <w:t xml:space="preserve">l Economy Initiative: 50by50. </w:t>
      </w:r>
      <w:r w:rsidRPr="00C63750">
        <w:rPr>
          <w:rFonts w:asciiTheme="majorBidi" w:hAnsiTheme="majorBidi" w:cstheme="majorBidi"/>
          <w:sz w:val="24"/>
          <w:szCs w:val="24"/>
        </w:rPr>
        <w:t>http://www.globalfueleconomy</w:t>
      </w:r>
      <w:r>
        <w:rPr>
          <w:rFonts w:asciiTheme="majorBidi" w:hAnsiTheme="majorBidi" w:cstheme="majorBidi"/>
          <w:sz w:val="24"/>
          <w:szCs w:val="24"/>
        </w:rPr>
        <w:t>.org/about/Pages/AboutHome.aspx.  A</w:t>
      </w:r>
      <w:r w:rsidRPr="00C63750">
        <w:rPr>
          <w:rFonts w:asciiTheme="majorBidi" w:hAnsiTheme="majorBidi" w:cstheme="majorBidi"/>
          <w:sz w:val="24"/>
          <w:szCs w:val="24"/>
        </w:rPr>
        <w:t>ccessed</w:t>
      </w:r>
      <w:r>
        <w:rPr>
          <w:rFonts w:asciiTheme="majorBidi" w:hAnsiTheme="majorBidi" w:cstheme="majorBidi"/>
          <w:sz w:val="24"/>
          <w:szCs w:val="24"/>
        </w:rPr>
        <w:t>: September 8</w:t>
      </w:r>
      <w:r>
        <w:rPr>
          <w:rFonts w:asciiTheme="majorBidi" w:hAnsiTheme="majorBidi" w:cstheme="majorBidi"/>
          <w:sz w:val="24"/>
          <w:szCs w:val="24"/>
          <w:vertAlign w:val="superscript"/>
        </w:rPr>
        <w:t>th</w:t>
      </w:r>
      <w:r>
        <w:rPr>
          <w:rFonts w:asciiTheme="majorBidi" w:hAnsiTheme="majorBidi" w:cstheme="majorBidi"/>
          <w:sz w:val="24"/>
          <w:szCs w:val="24"/>
        </w:rPr>
        <w:t>, 2014</w:t>
      </w:r>
      <w:r w:rsidRPr="00C63750">
        <w:rPr>
          <w:rFonts w:asciiTheme="majorBidi" w:hAnsiTheme="majorBidi" w:cstheme="majorBidi"/>
          <w:sz w:val="24"/>
          <w:szCs w:val="24"/>
        </w:rPr>
        <w:t>.</w:t>
      </w:r>
    </w:p>
    <w:p w14:paraId="4756B0EC" w14:textId="77777777" w:rsidR="00B459B3" w:rsidRDefault="007E1149" w:rsidP="007E1149">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Global Fuel Economy Initiative: GFEI (2014)</w:t>
      </w:r>
      <w:r w:rsidRPr="007E1149">
        <w:rPr>
          <w:rFonts w:asciiTheme="majorBidi" w:hAnsiTheme="majorBidi" w:cstheme="majorBidi"/>
          <w:sz w:val="24"/>
          <w:szCs w:val="24"/>
        </w:rPr>
        <w:t xml:space="preserve">. </w:t>
      </w:r>
      <w:r>
        <w:rPr>
          <w:rFonts w:asciiTheme="majorBidi" w:hAnsiTheme="majorBidi" w:cstheme="majorBidi"/>
          <w:sz w:val="24"/>
          <w:szCs w:val="24"/>
        </w:rPr>
        <w:t xml:space="preserve">Available at: </w:t>
      </w:r>
      <w:hyperlink r:id="rId29" w:history="1">
        <w:r w:rsidRPr="00311DAB">
          <w:rPr>
            <w:rStyle w:val="Hyperlink"/>
            <w:rFonts w:asciiTheme="majorBidi" w:hAnsiTheme="majorBidi" w:cstheme="majorBidi"/>
            <w:sz w:val="24"/>
            <w:szCs w:val="24"/>
          </w:rPr>
          <w:t>http://www.unep.org/transport/gfei/autotool/nextsteps/developing_a_baseline.asp</w:t>
        </w:r>
      </w:hyperlink>
      <w:r>
        <w:rPr>
          <w:rFonts w:asciiTheme="majorBidi" w:hAnsiTheme="majorBidi" w:cstheme="majorBidi"/>
          <w:sz w:val="24"/>
          <w:szCs w:val="24"/>
        </w:rPr>
        <w:t>. Accessed: August 19</w:t>
      </w:r>
      <w:r>
        <w:rPr>
          <w:rFonts w:asciiTheme="majorBidi" w:hAnsiTheme="majorBidi" w:cstheme="majorBidi"/>
          <w:sz w:val="24"/>
          <w:szCs w:val="24"/>
          <w:vertAlign w:val="superscript"/>
        </w:rPr>
        <w:t>th</w:t>
      </w:r>
      <w:r>
        <w:rPr>
          <w:rFonts w:asciiTheme="majorBidi" w:hAnsiTheme="majorBidi" w:cstheme="majorBidi"/>
          <w:sz w:val="24"/>
          <w:szCs w:val="24"/>
        </w:rPr>
        <w:t xml:space="preserve">, 2014   </w:t>
      </w:r>
    </w:p>
    <w:p w14:paraId="63CE27B9" w14:textId="77777777" w:rsidR="00B459B3" w:rsidRDefault="00B459B3" w:rsidP="00B459B3">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 xml:space="preserve">Global Fuel Economy Initiative: GFEI (2014). The European Union Automotive Fuel Economy policy. Available at:  </w:t>
      </w:r>
      <w:r w:rsidR="007E1149">
        <w:rPr>
          <w:rFonts w:asciiTheme="majorBidi" w:hAnsiTheme="majorBidi" w:cstheme="majorBidi"/>
          <w:sz w:val="24"/>
          <w:szCs w:val="24"/>
        </w:rPr>
        <w:t xml:space="preserve"> </w:t>
      </w:r>
      <w:hyperlink r:id="rId30" w:history="1">
        <w:r w:rsidRPr="00311DAB">
          <w:rPr>
            <w:rStyle w:val="Hyperlink"/>
            <w:rFonts w:asciiTheme="majorBidi" w:hAnsiTheme="majorBidi" w:cstheme="majorBidi"/>
            <w:sz w:val="24"/>
            <w:szCs w:val="24"/>
          </w:rPr>
          <w:t>http://www.unep.org/transport/gfei/autotool/case_studies/europe/cs_eu_0.asp</w:t>
        </w:r>
      </w:hyperlink>
      <w:r>
        <w:rPr>
          <w:rFonts w:asciiTheme="majorBidi" w:hAnsiTheme="majorBidi" w:cstheme="majorBidi"/>
          <w:sz w:val="24"/>
          <w:szCs w:val="24"/>
        </w:rPr>
        <w:t>. Accessed September 11</w:t>
      </w:r>
      <w:r>
        <w:rPr>
          <w:rFonts w:asciiTheme="majorBidi" w:hAnsiTheme="majorBidi" w:cstheme="majorBidi"/>
          <w:sz w:val="24"/>
          <w:szCs w:val="24"/>
          <w:vertAlign w:val="superscript"/>
        </w:rPr>
        <w:t>th</w:t>
      </w:r>
      <w:r>
        <w:rPr>
          <w:rFonts w:asciiTheme="majorBidi" w:hAnsiTheme="majorBidi" w:cstheme="majorBidi"/>
          <w:sz w:val="24"/>
          <w:szCs w:val="24"/>
        </w:rPr>
        <w:t>,2014</w:t>
      </w:r>
    </w:p>
    <w:p w14:paraId="76D6C3D0" w14:textId="77777777" w:rsidR="00592166" w:rsidRDefault="00B459B3" w:rsidP="00B459B3">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 xml:space="preserve">Global Fuel Economy Initiative: GFEI (2014). The US Automotive Fuel Economy policy. Available at: </w:t>
      </w:r>
      <w:r w:rsidR="007E1149">
        <w:rPr>
          <w:rFonts w:asciiTheme="majorBidi" w:hAnsiTheme="majorBidi" w:cstheme="majorBidi"/>
          <w:sz w:val="24"/>
          <w:szCs w:val="24"/>
        </w:rPr>
        <w:t xml:space="preserve"> </w:t>
      </w:r>
      <w:hyperlink r:id="rId31" w:history="1">
        <w:r w:rsidRPr="00311DAB">
          <w:rPr>
            <w:rStyle w:val="Hyperlink"/>
            <w:rFonts w:asciiTheme="majorBidi" w:hAnsiTheme="majorBidi" w:cstheme="majorBidi"/>
            <w:sz w:val="24"/>
            <w:szCs w:val="24"/>
          </w:rPr>
          <w:t>http://www.unep.org/transport/gfei/autotool/case_studies/northamerica/cs_us_0.asp</w:t>
        </w:r>
      </w:hyperlink>
      <w:r>
        <w:rPr>
          <w:rFonts w:asciiTheme="majorBidi" w:hAnsiTheme="majorBidi" w:cstheme="majorBidi"/>
          <w:sz w:val="24"/>
          <w:szCs w:val="24"/>
        </w:rPr>
        <w:t>. Accessed</w:t>
      </w:r>
      <w:r w:rsidR="00592166">
        <w:rPr>
          <w:rFonts w:asciiTheme="majorBidi" w:hAnsiTheme="majorBidi" w:cstheme="majorBidi"/>
          <w:sz w:val="24"/>
          <w:szCs w:val="24"/>
        </w:rPr>
        <w:t>:</w:t>
      </w:r>
      <w:r>
        <w:rPr>
          <w:rFonts w:asciiTheme="majorBidi" w:hAnsiTheme="majorBidi" w:cstheme="majorBidi"/>
          <w:sz w:val="24"/>
          <w:szCs w:val="24"/>
        </w:rPr>
        <w:t xml:space="preserve"> September 14</w:t>
      </w:r>
      <w:r>
        <w:rPr>
          <w:rFonts w:asciiTheme="majorBidi" w:hAnsiTheme="majorBidi" w:cstheme="majorBidi"/>
          <w:sz w:val="24"/>
          <w:szCs w:val="24"/>
          <w:vertAlign w:val="superscript"/>
        </w:rPr>
        <w:t>th</w:t>
      </w:r>
      <w:r>
        <w:rPr>
          <w:rFonts w:asciiTheme="majorBidi" w:hAnsiTheme="majorBidi" w:cstheme="majorBidi"/>
          <w:sz w:val="24"/>
          <w:szCs w:val="24"/>
        </w:rPr>
        <w:t>, 2014.</w:t>
      </w:r>
    </w:p>
    <w:p w14:paraId="2822FA13" w14:textId="77777777" w:rsidR="006E4468" w:rsidRPr="00F66D80" w:rsidRDefault="006E4468" w:rsidP="00792E8C">
      <w:pPr>
        <w:pStyle w:val="ListParagraph"/>
        <w:numPr>
          <w:ilvl w:val="0"/>
          <w:numId w:val="7"/>
        </w:numPr>
        <w:rPr>
          <w:rFonts w:asciiTheme="majorBidi" w:hAnsiTheme="majorBidi" w:cstheme="majorBidi"/>
          <w:i/>
          <w:iCs/>
          <w:sz w:val="24"/>
          <w:szCs w:val="24"/>
        </w:rPr>
      </w:pPr>
      <w:r w:rsidRPr="00F66D80">
        <w:rPr>
          <w:rFonts w:asciiTheme="majorBidi" w:hAnsiTheme="majorBidi" w:cstheme="majorBidi"/>
          <w:sz w:val="24"/>
          <w:szCs w:val="24"/>
        </w:rPr>
        <w:t xml:space="preserve">Institute of Mechanical Engineering (2011). Internal Combustion Engines: </w:t>
      </w:r>
      <w:r w:rsidRPr="00F66D80">
        <w:rPr>
          <w:rFonts w:asciiTheme="majorBidi" w:hAnsiTheme="majorBidi" w:cstheme="majorBidi"/>
          <w:i/>
          <w:iCs/>
          <w:sz w:val="24"/>
          <w:szCs w:val="24"/>
        </w:rPr>
        <w:t>Improving Performance, Fuel Economy and Emissions</w:t>
      </w:r>
      <w:r w:rsidRPr="00F66D80">
        <w:rPr>
          <w:rFonts w:asciiTheme="majorBidi" w:hAnsiTheme="majorBidi" w:cstheme="majorBidi"/>
          <w:sz w:val="24"/>
          <w:szCs w:val="24"/>
        </w:rPr>
        <w:t>. Woodhead Publishing Limited: London</w:t>
      </w:r>
      <w:r w:rsidR="00F66D80" w:rsidRPr="00F66D80">
        <w:rPr>
          <w:rFonts w:asciiTheme="majorBidi" w:hAnsiTheme="majorBidi" w:cstheme="majorBidi"/>
          <w:sz w:val="24"/>
          <w:szCs w:val="24"/>
        </w:rPr>
        <w:t xml:space="preserve"> </w:t>
      </w:r>
    </w:p>
    <w:p w14:paraId="60437BCC" w14:textId="0F911186" w:rsidR="006E4468" w:rsidRPr="003412DB" w:rsidRDefault="00F66D80" w:rsidP="003412DB">
      <w:pPr>
        <w:pStyle w:val="ListParagraph"/>
        <w:numPr>
          <w:ilvl w:val="0"/>
          <w:numId w:val="7"/>
        </w:numPr>
        <w:rPr>
          <w:rFonts w:asciiTheme="majorBidi" w:hAnsiTheme="majorBidi" w:cstheme="majorBidi"/>
          <w:i/>
          <w:iCs/>
          <w:sz w:val="24"/>
          <w:szCs w:val="24"/>
        </w:rPr>
      </w:pPr>
      <w:r>
        <w:rPr>
          <w:rFonts w:asciiTheme="majorBidi" w:hAnsiTheme="majorBidi" w:cstheme="majorBidi"/>
          <w:sz w:val="24"/>
          <w:szCs w:val="24"/>
        </w:rPr>
        <w:t xml:space="preserve">Meritas: Law Firms worldwide (2013). Available at: </w:t>
      </w:r>
      <w:hyperlink r:id="rId32" w:history="1">
        <w:r w:rsidRPr="00311DAB">
          <w:rPr>
            <w:rStyle w:val="Hyperlink"/>
            <w:rFonts w:asciiTheme="majorBidi" w:hAnsiTheme="majorBidi" w:cstheme="majorBidi"/>
            <w:sz w:val="24"/>
            <w:szCs w:val="24"/>
          </w:rPr>
          <w:t>http://www.meritas.org/emea_tax/march-2013-tunisia.htm</w:t>
        </w:r>
      </w:hyperlink>
      <w:r>
        <w:rPr>
          <w:rFonts w:asciiTheme="majorBidi" w:hAnsiTheme="majorBidi" w:cstheme="majorBidi"/>
          <w:sz w:val="24"/>
          <w:szCs w:val="24"/>
        </w:rPr>
        <w:t>. Accessed: September 5</w:t>
      </w:r>
      <w:r>
        <w:rPr>
          <w:rFonts w:asciiTheme="majorBidi" w:hAnsiTheme="majorBidi" w:cstheme="majorBidi"/>
          <w:sz w:val="24"/>
          <w:szCs w:val="24"/>
          <w:vertAlign w:val="superscript"/>
        </w:rPr>
        <w:t>th</w:t>
      </w:r>
      <w:r>
        <w:rPr>
          <w:rFonts w:asciiTheme="majorBidi" w:hAnsiTheme="majorBidi" w:cstheme="majorBidi"/>
          <w:sz w:val="24"/>
          <w:szCs w:val="24"/>
        </w:rPr>
        <w:t>,</w:t>
      </w:r>
      <w:r w:rsidR="00C138A8">
        <w:rPr>
          <w:rFonts w:asciiTheme="majorBidi" w:hAnsiTheme="majorBidi" w:cstheme="majorBidi"/>
          <w:sz w:val="24"/>
          <w:szCs w:val="24"/>
        </w:rPr>
        <w:t xml:space="preserve"> </w:t>
      </w:r>
      <w:r>
        <w:rPr>
          <w:rFonts w:asciiTheme="majorBidi" w:hAnsiTheme="majorBidi" w:cstheme="majorBidi"/>
          <w:sz w:val="24"/>
          <w:szCs w:val="24"/>
        </w:rPr>
        <w:t>2014</w:t>
      </w:r>
      <w:r w:rsidRPr="00C63750">
        <w:t xml:space="preserve"> </w:t>
      </w:r>
    </w:p>
    <w:p w14:paraId="17F1261E" w14:textId="77777777" w:rsidR="0053621C" w:rsidRPr="00684668" w:rsidRDefault="0053621C" w:rsidP="0053621C">
      <w:pPr>
        <w:pStyle w:val="ListParagraph"/>
        <w:numPr>
          <w:ilvl w:val="0"/>
          <w:numId w:val="7"/>
        </w:numPr>
        <w:rPr>
          <w:rFonts w:asciiTheme="majorBidi" w:hAnsiTheme="majorBidi" w:cstheme="majorBidi"/>
          <w:i/>
          <w:iCs/>
          <w:sz w:val="24"/>
          <w:szCs w:val="24"/>
        </w:rPr>
      </w:pPr>
      <w:r>
        <w:rPr>
          <w:rFonts w:asciiTheme="majorBidi" w:hAnsiTheme="majorBidi" w:cstheme="majorBidi"/>
          <w:sz w:val="24"/>
          <w:szCs w:val="24"/>
        </w:rPr>
        <w:t xml:space="preserve">Parry, Ian. Anderson, </w:t>
      </w:r>
      <w:proofErr w:type="spellStart"/>
      <w:r>
        <w:rPr>
          <w:rFonts w:asciiTheme="majorBidi" w:hAnsiTheme="majorBidi" w:cstheme="majorBidi"/>
          <w:sz w:val="24"/>
          <w:szCs w:val="24"/>
        </w:rPr>
        <w:t>Soren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Sallee</w:t>
      </w:r>
      <w:proofErr w:type="spellEnd"/>
      <w:r>
        <w:rPr>
          <w:rFonts w:asciiTheme="majorBidi" w:hAnsiTheme="majorBidi" w:cstheme="majorBidi"/>
          <w:sz w:val="24"/>
          <w:szCs w:val="24"/>
        </w:rPr>
        <w:t xml:space="preserve">, James M. Fischer, Carolyn. (2010). </w:t>
      </w:r>
      <w:r w:rsidRPr="0053621C">
        <w:rPr>
          <w:rFonts w:asciiTheme="majorBidi" w:hAnsiTheme="majorBidi" w:cstheme="majorBidi"/>
          <w:i/>
          <w:iCs/>
          <w:sz w:val="24"/>
          <w:szCs w:val="24"/>
        </w:rPr>
        <w:t>Automobile Fuel Economy Standards: Impacts, Efficiency, and Alternatives</w:t>
      </w:r>
      <w:r w:rsidR="00BD654F">
        <w:rPr>
          <w:rFonts w:asciiTheme="majorBidi" w:hAnsiTheme="majorBidi" w:cstheme="majorBidi"/>
          <w:sz w:val="24"/>
          <w:szCs w:val="24"/>
        </w:rPr>
        <w:t>. Resources for the F</w:t>
      </w:r>
      <w:r>
        <w:rPr>
          <w:rFonts w:asciiTheme="majorBidi" w:hAnsiTheme="majorBidi" w:cstheme="majorBidi"/>
          <w:sz w:val="24"/>
          <w:szCs w:val="24"/>
        </w:rPr>
        <w:t>uture:</w:t>
      </w:r>
      <w:r w:rsidR="00BD654F">
        <w:rPr>
          <w:rFonts w:asciiTheme="majorBidi" w:hAnsiTheme="majorBidi" w:cstheme="majorBidi"/>
          <w:sz w:val="24"/>
          <w:szCs w:val="24"/>
        </w:rPr>
        <w:t xml:space="preserve"> Washington, DC.</w:t>
      </w:r>
    </w:p>
    <w:p w14:paraId="194FFAAF" w14:textId="4B59F9E0" w:rsidR="00684668" w:rsidRDefault="00684668" w:rsidP="00684668">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 xml:space="preserve">Quandl (2014). Egypt GINI index. Available at:   </w:t>
      </w:r>
      <w:hyperlink r:id="rId33" w:history="1">
        <w:r w:rsidRPr="00311DAB">
          <w:rPr>
            <w:rStyle w:val="Hyperlink"/>
            <w:rFonts w:asciiTheme="majorBidi" w:hAnsiTheme="majorBidi" w:cstheme="majorBidi"/>
            <w:sz w:val="24"/>
            <w:szCs w:val="24"/>
          </w:rPr>
          <w:t>https://www.quandl.com/WORLDBANK/EGY_SI_POV_GINI-Egypt-Arab-Rep-GINI-index</w:t>
        </w:r>
      </w:hyperlink>
      <w:r>
        <w:rPr>
          <w:rFonts w:asciiTheme="majorBidi" w:hAnsiTheme="majorBidi" w:cstheme="majorBidi"/>
          <w:sz w:val="24"/>
          <w:szCs w:val="24"/>
        </w:rPr>
        <w:t xml:space="preserve">.   </w:t>
      </w:r>
      <w:r w:rsidRPr="00592166">
        <w:rPr>
          <w:rFonts w:asciiTheme="majorBidi" w:hAnsiTheme="majorBidi" w:cstheme="majorBidi"/>
          <w:sz w:val="24"/>
          <w:szCs w:val="24"/>
        </w:rPr>
        <w:t>Accessed: September 18th,</w:t>
      </w:r>
      <w:r w:rsidR="00C138A8">
        <w:rPr>
          <w:rFonts w:asciiTheme="majorBidi" w:hAnsiTheme="majorBidi" w:cstheme="majorBidi"/>
          <w:sz w:val="24"/>
          <w:szCs w:val="24"/>
        </w:rPr>
        <w:t xml:space="preserve"> </w:t>
      </w:r>
      <w:r w:rsidRPr="00592166">
        <w:rPr>
          <w:rFonts w:asciiTheme="majorBidi" w:hAnsiTheme="majorBidi" w:cstheme="majorBidi"/>
          <w:sz w:val="24"/>
          <w:szCs w:val="24"/>
        </w:rPr>
        <w:t>2014.</w:t>
      </w:r>
      <w:r>
        <w:rPr>
          <w:rFonts w:asciiTheme="majorBidi" w:hAnsiTheme="majorBidi" w:cstheme="majorBidi"/>
          <w:sz w:val="24"/>
          <w:szCs w:val="24"/>
        </w:rPr>
        <w:t xml:space="preserve"> </w:t>
      </w:r>
    </w:p>
    <w:p w14:paraId="2C50BE61" w14:textId="77777777" w:rsidR="00684668" w:rsidRDefault="00684668" w:rsidP="00684668">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lastRenderedPageBreak/>
        <w:t xml:space="preserve">Quandl (2014). Egypt population data. Available at: </w:t>
      </w:r>
      <w:hyperlink r:id="rId34" w:history="1">
        <w:r w:rsidRPr="00311DAB">
          <w:rPr>
            <w:rStyle w:val="Hyperlink"/>
            <w:rFonts w:asciiTheme="majorBidi" w:hAnsiTheme="majorBidi" w:cstheme="majorBidi"/>
            <w:sz w:val="24"/>
            <w:szCs w:val="24"/>
          </w:rPr>
          <w:t>https://www.quandl.com/UN/DEV_POPULATIONTOTAL_EGY-Population-Total-Egypt</w:t>
        </w:r>
      </w:hyperlink>
      <w:r>
        <w:rPr>
          <w:rFonts w:asciiTheme="majorBidi" w:hAnsiTheme="majorBidi" w:cstheme="majorBidi"/>
          <w:sz w:val="24"/>
          <w:szCs w:val="24"/>
        </w:rPr>
        <w:t>. Accessed: September 20</w:t>
      </w:r>
      <w:r>
        <w:rPr>
          <w:rFonts w:asciiTheme="majorBidi" w:hAnsiTheme="majorBidi" w:cstheme="majorBidi"/>
          <w:sz w:val="24"/>
          <w:szCs w:val="24"/>
          <w:vertAlign w:val="superscript"/>
        </w:rPr>
        <w:t>th</w:t>
      </w:r>
      <w:r>
        <w:rPr>
          <w:rFonts w:asciiTheme="majorBidi" w:hAnsiTheme="majorBidi" w:cstheme="majorBidi"/>
          <w:sz w:val="24"/>
          <w:szCs w:val="24"/>
        </w:rPr>
        <w:t>, 2014.</w:t>
      </w:r>
    </w:p>
    <w:p w14:paraId="30A4488F" w14:textId="77777777" w:rsidR="00684668" w:rsidRDefault="00684668" w:rsidP="00684668">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 xml:space="preserve">Quandl (2014).Morocco GINI index. Available at:  </w:t>
      </w:r>
      <w:hyperlink r:id="rId35" w:history="1">
        <w:r w:rsidRPr="00311DAB">
          <w:rPr>
            <w:rStyle w:val="Hyperlink"/>
            <w:rFonts w:asciiTheme="majorBidi" w:hAnsiTheme="majorBidi" w:cstheme="majorBidi"/>
            <w:sz w:val="24"/>
            <w:szCs w:val="24"/>
          </w:rPr>
          <w:t>https://www.quandl.com/WORLDBANK/MAR_SI_POV_GINI-Morocco-GINI-index</w:t>
        </w:r>
      </w:hyperlink>
      <w:r>
        <w:rPr>
          <w:rFonts w:asciiTheme="majorBidi" w:hAnsiTheme="majorBidi" w:cstheme="majorBidi"/>
          <w:sz w:val="24"/>
          <w:szCs w:val="24"/>
        </w:rPr>
        <w:t>. Accessed: September 18</w:t>
      </w:r>
      <w:r>
        <w:rPr>
          <w:rFonts w:asciiTheme="majorBidi" w:hAnsiTheme="majorBidi" w:cstheme="majorBidi"/>
          <w:sz w:val="24"/>
          <w:szCs w:val="24"/>
          <w:vertAlign w:val="superscript"/>
        </w:rPr>
        <w:t>th</w:t>
      </w:r>
      <w:r>
        <w:rPr>
          <w:rFonts w:asciiTheme="majorBidi" w:hAnsiTheme="majorBidi" w:cstheme="majorBidi"/>
          <w:sz w:val="24"/>
          <w:szCs w:val="24"/>
        </w:rPr>
        <w:t>,2014</w:t>
      </w:r>
    </w:p>
    <w:p w14:paraId="29806E11" w14:textId="77777777" w:rsidR="00684668" w:rsidRDefault="00684668" w:rsidP="00684668">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 xml:space="preserve">Quandl (2014) Morocco Population data. Available at: </w:t>
      </w:r>
      <w:hyperlink r:id="rId36" w:history="1">
        <w:r w:rsidRPr="00311DAB">
          <w:rPr>
            <w:rStyle w:val="Hyperlink"/>
            <w:rFonts w:asciiTheme="majorBidi" w:hAnsiTheme="majorBidi" w:cstheme="majorBidi"/>
            <w:sz w:val="24"/>
            <w:szCs w:val="24"/>
          </w:rPr>
          <w:t>https://www.quandl.com/UN/DEV_POPULATIONTOTAL_MAR-Population-Total-Morocco</w:t>
        </w:r>
      </w:hyperlink>
      <w:r>
        <w:rPr>
          <w:rFonts w:asciiTheme="majorBidi" w:hAnsiTheme="majorBidi" w:cstheme="majorBidi"/>
          <w:sz w:val="24"/>
          <w:szCs w:val="24"/>
        </w:rPr>
        <w:t>. Accessed: September 20</w:t>
      </w:r>
      <w:r>
        <w:rPr>
          <w:rFonts w:asciiTheme="majorBidi" w:hAnsiTheme="majorBidi" w:cstheme="majorBidi"/>
          <w:sz w:val="24"/>
          <w:szCs w:val="24"/>
          <w:vertAlign w:val="superscript"/>
        </w:rPr>
        <w:t>th</w:t>
      </w:r>
      <w:r>
        <w:rPr>
          <w:rFonts w:asciiTheme="majorBidi" w:hAnsiTheme="majorBidi" w:cstheme="majorBidi"/>
          <w:sz w:val="24"/>
          <w:szCs w:val="24"/>
        </w:rPr>
        <w:t>, 2014.</w:t>
      </w:r>
    </w:p>
    <w:p w14:paraId="3F0B4D08" w14:textId="77777777" w:rsidR="00684668" w:rsidRDefault="00684668" w:rsidP="00684668">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 xml:space="preserve">Quandl (2014). Tunisia GINI index. Available at:  </w:t>
      </w:r>
      <w:hyperlink r:id="rId37" w:history="1">
        <w:r w:rsidRPr="00311DAB">
          <w:rPr>
            <w:rStyle w:val="Hyperlink"/>
            <w:rFonts w:asciiTheme="majorBidi" w:hAnsiTheme="majorBidi" w:cstheme="majorBidi"/>
            <w:sz w:val="24"/>
            <w:szCs w:val="24"/>
          </w:rPr>
          <w:t>https://www.quandl.com/WORLDBANK/TUN_SI_POV_GINI-Tunisia-GINI-index</w:t>
        </w:r>
      </w:hyperlink>
      <w:r>
        <w:rPr>
          <w:rFonts w:asciiTheme="majorBidi" w:hAnsiTheme="majorBidi" w:cstheme="majorBidi"/>
          <w:sz w:val="24"/>
          <w:szCs w:val="24"/>
        </w:rPr>
        <w:t xml:space="preserve">.   </w:t>
      </w:r>
      <w:r w:rsidRPr="00592166">
        <w:rPr>
          <w:rFonts w:asciiTheme="majorBidi" w:hAnsiTheme="majorBidi" w:cstheme="majorBidi"/>
          <w:sz w:val="24"/>
          <w:szCs w:val="24"/>
        </w:rPr>
        <w:t>Accessed: September 18th,</w:t>
      </w:r>
      <w:r w:rsidR="000566A6">
        <w:rPr>
          <w:rFonts w:asciiTheme="majorBidi" w:hAnsiTheme="majorBidi" w:cstheme="majorBidi"/>
          <w:sz w:val="24"/>
          <w:szCs w:val="24"/>
        </w:rPr>
        <w:t xml:space="preserve"> </w:t>
      </w:r>
      <w:r w:rsidR="00B60D27">
        <w:rPr>
          <w:rFonts w:asciiTheme="majorBidi" w:hAnsiTheme="majorBidi" w:cstheme="majorBidi"/>
          <w:sz w:val="24"/>
          <w:szCs w:val="24"/>
        </w:rPr>
        <w:t>`</w:t>
      </w:r>
      <w:r w:rsidRPr="00592166">
        <w:rPr>
          <w:rFonts w:asciiTheme="majorBidi" w:hAnsiTheme="majorBidi" w:cstheme="majorBidi"/>
          <w:sz w:val="24"/>
          <w:szCs w:val="24"/>
        </w:rPr>
        <w:t>2014</w:t>
      </w:r>
      <w:r>
        <w:rPr>
          <w:rFonts w:asciiTheme="majorBidi" w:hAnsiTheme="majorBidi" w:cstheme="majorBidi"/>
          <w:sz w:val="24"/>
          <w:szCs w:val="24"/>
        </w:rPr>
        <w:t xml:space="preserve">. </w:t>
      </w:r>
    </w:p>
    <w:p w14:paraId="2F96F0FE" w14:textId="77777777" w:rsidR="00684668" w:rsidRDefault="00684668" w:rsidP="00684668">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Quandl (2014). Tunisia Population data. Available at:</w:t>
      </w:r>
      <w:r w:rsidRPr="007C7810">
        <w:t xml:space="preserve"> </w:t>
      </w:r>
      <w:r w:rsidRPr="007C7810">
        <w:rPr>
          <w:rFonts w:asciiTheme="majorBidi" w:hAnsiTheme="majorBidi" w:cstheme="majorBidi"/>
          <w:sz w:val="24"/>
          <w:szCs w:val="24"/>
        </w:rPr>
        <w:t>https://www.quandl.com/UN/DEV_POPULATIONTOTAL_TUN-Population-Total-Tunisia</w:t>
      </w:r>
      <w:r>
        <w:rPr>
          <w:rFonts w:asciiTheme="majorBidi" w:hAnsiTheme="majorBidi" w:cstheme="majorBidi"/>
          <w:sz w:val="24"/>
          <w:szCs w:val="24"/>
        </w:rPr>
        <w:t>.  Accessed: September 20</w:t>
      </w:r>
      <w:r>
        <w:rPr>
          <w:rFonts w:asciiTheme="majorBidi" w:hAnsiTheme="majorBidi" w:cstheme="majorBidi"/>
          <w:sz w:val="24"/>
          <w:szCs w:val="24"/>
          <w:vertAlign w:val="superscript"/>
        </w:rPr>
        <w:t>th</w:t>
      </w:r>
      <w:r>
        <w:rPr>
          <w:rFonts w:asciiTheme="majorBidi" w:hAnsiTheme="majorBidi" w:cstheme="majorBidi"/>
          <w:sz w:val="24"/>
          <w:szCs w:val="24"/>
        </w:rPr>
        <w:t>, 2014.</w:t>
      </w:r>
    </w:p>
    <w:p w14:paraId="4CA805E2" w14:textId="77777777" w:rsidR="00F07360" w:rsidRPr="00F07360" w:rsidRDefault="00F07360" w:rsidP="00F07360">
      <w:pPr>
        <w:pStyle w:val="ListParagraph"/>
        <w:numPr>
          <w:ilvl w:val="0"/>
          <w:numId w:val="7"/>
        </w:numPr>
        <w:rPr>
          <w:rFonts w:asciiTheme="majorBidi" w:hAnsiTheme="majorBidi" w:cstheme="majorBidi"/>
          <w:i/>
          <w:iCs/>
          <w:sz w:val="24"/>
          <w:szCs w:val="24"/>
        </w:rPr>
      </w:pPr>
      <w:r>
        <w:rPr>
          <w:rFonts w:asciiTheme="majorBidi" w:hAnsiTheme="majorBidi" w:cstheme="majorBidi"/>
          <w:sz w:val="24"/>
          <w:szCs w:val="24"/>
        </w:rPr>
        <w:t xml:space="preserve">Stone, Richard (1992). </w:t>
      </w:r>
      <w:r w:rsidRPr="00887188">
        <w:rPr>
          <w:rFonts w:asciiTheme="majorBidi" w:hAnsiTheme="majorBidi" w:cstheme="majorBidi"/>
          <w:i/>
          <w:iCs/>
          <w:sz w:val="24"/>
          <w:szCs w:val="24"/>
        </w:rPr>
        <w:t>Introduction to Internal Combustion Engines</w:t>
      </w:r>
      <w:r>
        <w:rPr>
          <w:rFonts w:asciiTheme="majorBidi" w:hAnsiTheme="majorBidi" w:cstheme="majorBidi"/>
          <w:i/>
          <w:iCs/>
          <w:sz w:val="24"/>
          <w:szCs w:val="24"/>
        </w:rPr>
        <w:t>.</w:t>
      </w:r>
      <w:r>
        <w:rPr>
          <w:rFonts w:asciiTheme="majorBidi" w:hAnsiTheme="majorBidi" w:cstheme="majorBidi"/>
          <w:sz w:val="24"/>
          <w:szCs w:val="24"/>
        </w:rPr>
        <w:t xml:space="preserve"> 2</w:t>
      </w:r>
      <w:r>
        <w:rPr>
          <w:rFonts w:asciiTheme="majorBidi" w:hAnsiTheme="majorBidi" w:cstheme="majorBidi"/>
          <w:sz w:val="24"/>
          <w:szCs w:val="24"/>
          <w:vertAlign w:val="superscript"/>
        </w:rPr>
        <w:t>nd</w:t>
      </w:r>
      <w:r>
        <w:rPr>
          <w:rFonts w:asciiTheme="majorBidi" w:hAnsiTheme="majorBidi" w:cstheme="majorBidi"/>
          <w:sz w:val="24"/>
          <w:szCs w:val="24"/>
        </w:rPr>
        <w:t xml:space="preserve"> edition. The Macmillan Press Limited: London.</w:t>
      </w:r>
    </w:p>
    <w:p w14:paraId="64F67F20" w14:textId="77777777" w:rsidR="00684668" w:rsidRPr="00684668" w:rsidRDefault="00684668" w:rsidP="00684668">
      <w:pPr>
        <w:pStyle w:val="ListParagraph"/>
        <w:rPr>
          <w:rFonts w:asciiTheme="majorBidi" w:hAnsiTheme="majorBidi" w:cstheme="majorBidi"/>
          <w:sz w:val="24"/>
          <w:szCs w:val="24"/>
        </w:rPr>
      </w:pPr>
    </w:p>
    <w:p w14:paraId="5F77C82A" w14:textId="77777777" w:rsidR="00FD7524" w:rsidRPr="007E14A0" w:rsidRDefault="00FD7524" w:rsidP="00B52267">
      <w:pPr>
        <w:pStyle w:val="ListParagraph"/>
        <w:numPr>
          <w:ilvl w:val="0"/>
          <w:numId w:val="7"/>
        </w:numPr>
        <w:tabs>
          <w:tab w:val="left" w:pos="9000"/>
        </w:tabs>
        <w:rPr>
          <w:rFonts w:asciiTheme="majorBidi" w:hAnsiTheme="majorBidi" w:cstheme="majorBidi"/>
          <w:i/>
          <w:iCs/>
          <w:sz w:val="24"/>
          <w:szCs w:val="24"/>
        </w:rPr>
      </w:pPr>
      <w:r>
        <w:rPr>
          <w:rFonts w:asciiTheme="majorBidi" w:hAnsiTheme="majorBidi" w:cstheme="majorBidi"/>
          <w:sz w:val="24"/>
          <w:szCs w:val="24"/>
        </w:rPr>
        <w:t xml:space="preserve">The globaleconomy.com (2014). </w:t>
      </w:r>
      <w:r w:rsidR="00EF017D">
        <w:rPr>
          <w:rFonts w:asciiTheme="majorBidi" w:hAnsiTheme="majorBidi" w:cstheme="majorBidi"/>
          <w:sz w:val="24"/>
          <w:szCs w:val="24"/>
        </w:rPr>
        <w:t xml:space="preserve">Tunisia Gasoline Consumption. </w:t>
      </w:r>
      <w:r w:rsidR="00B52267">
        <w:rPr>
          <w:rFonts w:asciiTheme="majorBidi" w:hAnsiTheme="majorBidi" w:cstheme="majorBidi"/>
          <w:sz w:val="24"/>
          <w:szCs w:val="24"/>
        </w:rPr>
        <w:t xml:space="preserve">Available at: </w:t>
      </w:r>
      <w:hyperlink r:id="rId38" w:history="1">
        <w:r w:rsidR="00B52267" w:rsidRPr="00311DAB">
          <w:rPr>
            <w:rStyle w:val="Hyperlink"/>
            <w:rFonts w:asciiTheme="majorBidi" w:hAnsiTheme="majorBidi" w:cstheme="majorBidi"/>
            <w:sz w:val="24"/>
            <w:szCs w:val="24"/>
          </w:rPr>
          <w:t>http://www.theglobaleconomy.com/Tunisia/gasoline_consumption/</w:t>
        </w:r>
      </w:hyperlink>
      <w:r w:rsidR="00B52267">
        <w:rPr>
          <w:rFonts w:asciiTheme="majorBidi" w:hAnsiTheme="majorBidi" w:cstheme="majorBidi"/>
          <w:sz w:val="24"/>
          <w:szCs w:val="24"/>
        </w:rPr>
        <w:t>. Accessed: September 25</w:t>
      </w:r>
      <w:r w:rsidR="00B52267">
        <w:rPr>
          <w:rFonts w:asciiTheme="majorBidi" w:hAnsiTheme="majorBidi" w:cstheme="majorBidi"/>
          <w:sz w:val="24"/>
          <w:szCs w:val="24"/>
          <w:vertAlign w:val="superscript"/>
        </w:rPr>
        <w:t>th</w:t>
      </w:r>
      <w:r w:rsidR="00B52267">
        <w:rPr>
          <w:rFonts w:asciiTheme="majorBidi" w:hAnsiTheme="majorBidi" w:cstheme="majorBidi"/>
          <w:sz w:val="24"/>
          <w:szCs w:val="24"/>
        </w:rPr>
        <w:t xml:space="preserve">, 2014. </w:t>
      </w:r>
    </w:p>
    <w:p w14:paraId="1146CF6C" w14:textId="77777777" w:rsidR="007E14A0" w:rsidRPr="005C7482" w:rsidRDefault="00140B2B" w:rsidP="00140B2B">
      <w:pPr>
        <w:pStyle w:val="ListParagraph"/>
        <w:numPr>
          <w:ilvl w:val="0"/>
          <w:numId w:val="7"/>
        </w:numPr>
        <w:tabs>
          <w:tab w:val="left" w:pos="9000"/>
        </w:tabs>
        <w:rPr>
          <w:rFonts w:asciiTheme="majorBidi" w:hAnsiTheme="majorBidi" w:cstheme="majorBidi"/>
          <w:i/>
          <w:iCs/>
          <w:sz w:val="24"/>
          <w:szCs w:val="24"/>
        </w:rPr>
      </w:pPr>
      <w:r>
        <w:rPr>
          <w:rFonts w:asciiTheme="majorBidi" w:hAnsiTheme="majorBidi" w:cstheme="majorBidi"/>
          <w:sz w:val="24"/>
          <w:szCs w:val="24"/>
        </w:rPr>
        <w:t xml:space="preserve">The Organization for Economic Cooperation and Development (OECD). (2007). African Economic Outlook: Tunisia. Available at: </w:t>
      </w:r>
      <w:hyperlink r:id="rId39" w:history="1">
        <w:r w:rsidRPr="00311DAB">
          <w:rPr>
            <w:rStyle w:val="Hyperlink"/>
            <w:rFonts w:asciiTheme="majorBidi" w:hAnsiTheme="majorBidi" w:cstheme="majorBidi"/>
            <w:sz w:val="24"/>
            <w:szCs w:val="24"/>
          </w:rPr>
          <w:t>http://www.oecd.org/dev/emea/africaneconomicoutlook2007.htm</w:t>
        </w:r>
      </w:hyperlink>
      <w:r>
        <w:rPr>
          <w:rFonts w:asciiTheme="majorBidi" w:hAnsiTheme="majorBidi" w:cstheme="majorBidi"/>
          <w:sz w:val="24"/>
          <w:szCs w:val="24"/>
        </w:rPr>
        <w:t>. Accessed: September 17</w:t>
      </w:r>
      <w:r>
        <w:rPr>
          <w:rFonts w:asciiTheme="majorBidi" w:hAnsiTheme="majorBidi" w:cstheme="majorBidi"/>
          <w:sz w:val="24"/>
          <w:szCs w:val="24"/>
          <w:vertAlign w:val="superscript"/>
        </w:rPr>
        <w:t>th</w:t>
      </w:r>
      <w:r>
        <w:rPr>
          <w:rFonts w:asciiTheme="majorBidi" w:hAnsiTheme="majorBidi" w:cstheme="majorBidi"/>
          <w:sz w:val="24"/>
          <w:szCs w:val="24"/>
        </w:rPr>
        <w:t>, 2014.</w:t>
      </w:r>
    </w:p>
    <w:p w14:paraId="649025BE" w14:textId="77777777" w:rsidR="00684668" w:rsidRPr="001270BE" w:rsidRDefault="00684668" w:rsidP="00684668">
      <w:pPr>
        <w:pStyle w:val="ListParagraph"/>
        <w:numPr>
          <w:ilvl w:val="0"/>
          <w:numId w:val="7"/>
        </w:numPr>
        <w:rPr>
          <w:rFonts w:asciiTheme="majorBidi" w:hAnsiTheme="majorBidi" w:cstheme="majorBidi"/>
          <w:i/>
          <w:iCs/>
          <w:sz w:val="24"/>
          <w:szCs w:val="24"/>
        </w:rPr>
      </w:pPr>
      <w:r w:rsidRPr="001270BE">
        <w:rPr>
          <w:rFonts w:asciiTheme="majorBidi" w:hAnsiTheme="majorBidi" w:cstheme="majorBidi"/>
          <w:sz w:val="24"/>
          <w:szCs w:val="24"/>
        </w:rPr>
        <w:t xml:space="preserve">United States of America. Government Accountability office (2008). </w:t>
      </w:r>
      <w:r w:rsidRPr="001270BE">
        <w:rPr>
          <w:rFonts w:asciiTheme="majorBidi" w:hAnsiTheme="majorBidi" w:cstheme="majorBidi"/>
          <w:i/>
          <w:iCs/>
          <w:sz w:val="24"/>
          <w:szCs w:val="24"/>
        </w:rPr>
        <w:t>Vehicle Fuel Economy.</w:t>
      </w:r>
      <w:r w:rsidRPr="001270BE">
        <w:rPr>
          <w:rFonts w:asciiTheme="majorBidi" w:hAnsiTheme="majorBidi" w:cstheme="majorBidi"/>
          <w:sz w:val="24"/>
          <w:szCs w:val="24"/>
        </w:rPr>
        <w:t xml:space="preserve"> New York: Novinka books</w:t>
      </w:r>
      <w:r>
        <w:rPr>
          <w:rFonts w:asciiTheme="majorBidi" w:hAnsiTheme="majorBidi" w:cstheme="majorBidi"/>
          <w:sz w:val="24"/>
          <w:szCs w:val="24"/>
        </w:rPr>
        <w:t>.</w:t>
      </w:r>
    </w:p>
    <w:p w14:paraId="0904DD1E" w14:textId="77777777" w:rsidR="00F07360" w:rsidRPr="00684668" w:rsidRDefault="00F07360" w:rsidP="00F07360">
      <w:pPr>
        <w:pStyle w:val="ListParagraph"/>
        <w:numPr>
          <w:ilvl w:val="0"/>
          <w:numId w:val="7"/>
        </w:numPr>
        <w:tabs>
          <w:tab w:val="left" w:pos="9000"/>
        </w:tabs>
        <w:rPr>
          <w:rFonts w:asciiTheme="majorBidi" w:hAnsiTheme="majorBidi" w:cstheme="majorBidi"/>
          <w:i/>
          <w:iCs/>
          <w:sz w:val="24"/>
          <w:szCs w:val="24"/>
        </w:rPr>
      </w:pPr>
      <w:r>
        <w:rPr>
          <w:rFonts w:asciiTheme="majorBidi" w:hAnsiTheme="majorBidi" w:cstheme="majorBidi"/>
          <w:sz w:val="24"/>
          <w:szCs w:val="24"/>
        </w:rPr>
        <w:t>United States of America.US Foreign Commercial service and US Department of State (2012).</w:t>
      </w:r>
      <w:r w:rsidRPr="005C7482">
        <w:rPr>
          <w:rFonts w:asciiTheme="majorBidi" w:hAnsiTheme="majorBidi" w:cstheme="majorBidi"/>
          <w:i/>
          <w:iCs/>
          <w:sz w:val="24"/>
          <w:szCs w:val="24"/>
        </w:rPr>
        <w:t>Doing Business in Tunisia</w:t>
      </w:r>
      <w:r>
        <w:rPr>
          <w:rFonts w:asciiTheme="majorBidi" w:hAnsiTheme="majorBidi" w:cstheme="majorBidi"/>
          <w:sz w:val="24"/>
          <w:szCs w:val="24"/>
        </w:rPr>
        <w:t>. Washington, DC.</w:t>
      </w:r>
    </w:p>
    <w:p w14:paraId="1AA37B60" w14:textId="77777777" w:rsidR="00684668" w:rsidRPr="005C7482" w:rsidRDefault="00684668" w:rsidP="00F07360">
      <w:pPr>
        <w:pStyle w:val="ListParagraph"/>
        <w:tabs>
          <w:tab w:val="left" w:pos="9000"/>
        </w:tabs>
        <w:rPr>
          <w:rFonts w:asciiTheme="majorBidi" w:hAnsiTheme="majorBidi" w:cstheme="majorBidi"/>
          <w:i/>
          <w:iCs/>
          <w:sz w:val="24"/>
          <w:szCs w:val="24"/>
        </w:rPr>
      </w:pPr>
    </w:p>
    <w:p w14:paraId="0CC0E38D" w14:textId="77777777" w:rsidR="0074209C" w:rsidRPr="007E1149" w:rsidRDefault="00887188" w:rsidP="008816D7">
      <w:pPr>
        <w:rPr>
          <w:rFonts w:asciiTheme="majorBidi" w:hAnsiTheme="majorBidi" w:cstheme="majorBidi"/>
          <w:sz w:val="24"/>
          <w:szCs w:val="24"/>
        </w:rPr>
      </w:pPr>
      <w:r>
        <w:rPr>
          <w:rFonts w:asciiTheme="majorBidi" w:hAnsiTheme="majorBidi" w:cstheme="majorBidi"/>
          <w:sz w:val="24"/>
          <w:szCs w:val="24"/>
        </w:rPr>
        <w:t xml:space="preserve"> </w:t>
      </w:r>
    </w:p>
    <w:sectPr w:rsidR="0074209C" w:rsidRPr="007E1149" w:rsidSect="0056719C">
      <w:headerReference w:type="even" r:id="rId40"/>
      <w:headerReference w:type="default" r:id="rId41"/>
      <w:footerReference w:type="even" r:id="rId42"/>
      <w:footerReference w:type="default" r:id="rId43"/>
      <w:headerReference w:type="first" r:id="rId44"/>
      <w:footerReference w:type="first" r:id="rId45"/>
      <w:pgSz w:w="11901" w:h="16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A1D" w14:textId="77777777" w:rsidR="00311D7B" w:rsidRDefault="00311D7B" w:rsidP="00A54379">
      <w:pPr>
        <w:spacing w:after="0" w:line="240" w:lineRule="auto"/>
      </w:pPr>
      <w:r>
        <w:separator/>
      </w:r>
    </w:p>
  </w:endnote>
  <w:endnote w:type="continuationSeparator" w:id="0">
    <w:p w14:paraId="43A57916" w14:textId="77777777" w:rsidR="00311D7B" w:rsidRDefault="00311D7B" w:rsidP="00A5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9A0D9" w14:textId="77777777" w:rsidR="00F615EB" w:rsidRDefault="00F615EB" w:rsidP="005671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FC7562" w14:textId="77777777" w:rsidR="00F615EB" w:rsidRDefault="00F615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1B37A" w14:textId="77777777" w:rsidR="00F615EB" w:rsidRDefault="00F615EB" w:rsidP="005671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18B3">
      <w:rPr>
        <w:rStyle w:val="PageNumber"/>
        <w:noProof/>
      </w:rPr>
      <w:t>23</w:t>
    </w:r>
    <w:r>
      <w:rPr>
        <w:rStyle w:val="PageNumber"/>
      </w:rPr>
      <w:fldChar w:fldCharType="end"/>
    </w:r>
  </w:p>
  <w:p w14:paraId="71DF3BD0" w14:textId="77777777" w:rsidR="00F615EB" w:rsidRDefault="00F615EB" w:rsidP="00792E8C">
    <w:pPr>
      <w:pStyle w:val="Footer"/>
      <w:pBdr>
        <w:top w:val="single" w:sz="4" w:space="1" w:color="auto"/>
      </w:pBdr>
      <w:jc w:val="right"/>
    </w:pPr>
  </w:p>
  <w:p w14:paraId="1C069B5E" w14:textId="77777777" w:rsidR="00F615EB" w:rsidRDefault="00F615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EFC68" w14:textId="77777777" w:rsidR="008D6062" w:rsidRDefault="008D6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3CCD3" w14:textId="77777777" w:rsidR="00311D7B" w:rsidRDefault="00311D7B" w:rsidP="00A54379">
      <w:pPr>
        <w:spacing w:after="0" w:line="240" w:lineRule="auto"/>
      </w:pPr>
      <w:r>
        <w:separator/>
      </w:r>
    </w:p>
  </w:footnote>
  <w:footnote w:type="continuationSeparator" w:id="0">
    <w:p w14:paraId="380830EC" w14:textId="77777777" w:rsidR="00311D7B" w:rsidRDefault="00311D7B" w:rsidP="00A54379">
      <w:pPr>
        <w:spacing w:after="0" w:line="240" w:lineRule="auto"/>
      </w:pPr>
      <w:r>
        <w:continuationSeparator/>
      </w:r>
    </w:p>
  </w:footnote>
  <w:footnote w:id="1">
    <w:p w14:paraId="536C4CF1" w14:textId="77777777" w:rsidR="00F615EB" w:rsidRPr="00680E57" w:rsidRDefault="00F615EB" w:rsidP="00A54379">
      <w:pPr>
        <w:pStyle w:val="FootnoteText"/>
        <w:rPr>
          <w:rFonts w:cs="Times New Roman"/>
          <w:b/>
          <w:bCs/>
        </w:rPr>
      </w:pPr>
      <w:r w:rsidRPr="00680E57">
        <w:rPr>
          <w:rStyle w:val="FootnoteReference"/>
          <w:rFonts w:cs="Times New Roman"/>
        </w:rPr>
        <w:footnoteRef/>
      </w:r>
      <w:r w:rsidRPr="00680E57">
        <w:rPr>
          <w:rStyle w:val="Strong"/>
          <w:rFonts w:cs="Times New Roman"/>
        </w:rPr>
        <w:t>FIA Foundation, International Energy Agency (IEA), International Transport Forum (ITF), United Nations Environment Programme (UNEP), and the International Council on Clean Transportation (ICCT).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29733" w14:textId="35F957EC" w:rsidR="008D6062" w:rsidRDefault="005818B3">
    <w:pPr>
      <w:pStyle w:val="Header"/>
    </w:pPr>
    <w:r>
      <w:rPr>
        <w:noProof/>
      </w:rPr>
      <w:pict w14:anchorId="4E9E9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23.95pt;height:211.95pt;rotation:315;z-index:-251655168;mso-wrap-edited:f;mso-position-horizontal:center;mso-position-horizontal-relative:margin;mso-position-vertical:center;mso-position-vertical-relative:margin" wrapcoords="21064 8395 19841 6411 19420 5877 19153 6334 18121 4808 17585 4274 17394 4503 17165 4579 16706 4732 16515 4884 16133 5571 15903 6716 15865 8243 15368 8472 15215 8472 14986 8930 15521 11067 15903 11906 14603 10074 13418 8472 12424 8243 11545 8395 10895 8853 10704 9235 10551 9769 9786 8624 9175 7785 8869 8243 8410 8701 7340 8243 7110 8624 7034 9616 4893 6563 4396 5877 3249 5419 1376 5419 1070 5495 879 5648 841 6029 802 16104 1185 16867 2905 16944 3708 16791 4281 16333 4855 15799 5352 15036 5658 13967 6996 16486 7684 17325 8028 16715 8028 11754 8754 13127 11354 17096 11583 17020 12463 17020 13112 16638 14030 16944 14221 16715 14221 16486 14259 13814 15292 15799 16438 17325 16783 16791 16783 16486 16859 15570 16859 12059 17929 14120 19994 17249 20261 17096 20988 16867 21217 16638 21332 16257 21332 15799 20682 13585 19994 11448 20109 9845 20911 9845 21179 9693 21332 9464 21332 8930 21064 8395" fillcolor="silver" stroked="f">
          <v:fill opacity="33423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D3373" w14:textId="7B3215B1" w:rsidR="008D6062" w:rsidRDefault="005818B3">
    <w:pPr>
      <w:pStyle w:val="Header"/>
    </w:pPr>
    <w:r>
      <w:rPr>
        <w:noProof/>
      </w:rPr>
      <w:pict w14:anchorId="25F67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23.95pt;height:211.95pt;rotation:315;z-index:-251657216;mso-wrap-edited:f;mso-position-horizontal:center;mso-position-horizontal-relative:margin;mso-position-vertical:center;mso-position-vertical-relative:margin" wrapcoords="21064 8395 19841 6411 19420 5877 19153 6334 18121 4808 17585 4274 17394 4503 17165 4579 16706 4732 16515 4884 16133 5571 15903 6716 15865 8243 15368 8472 15215 8472 14986 8930 15521 11067 15903 11906 14603 10074 13418 8472 12424 8243 11545 8395 10895 8853 10704 9235 10551 9769 9786 8624 9175 7785 8869 8243 8410 8701 7340 8243 7110 8624 7034 9616 4893 6563 4396 5877 3249 5419 1376 5419 1070 5495 879 5648 841 6029 802 16104 1185 16867 2905 16944 3708 16791 4281 16333 4855 15799 5352 15036 5658 13967 6996 16486 7684 17325 8028 16715 8028 11754 8754 13127 11354 17096 11583 17020 12463 17020 13112 16638 14030 16944 14221 16715 14221 16486 14259 13814 15292 15799 16438 17325 16783 16791 16783 16486 16859 15570 16859 12059 17929 14120 19994 17249 20261 17096 20988 16867 21217 16638 21332 16257 21332 15799 20682 13585 19994 11448 20109 9845 20911 9845 21179 9693 21332 9464 21332 8930 21064 8395" fillcolor="silver" stroked="f">
          <v:fill opacity="33423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A96F3" w14:textId="2112C6B7" w:rsidR="008D6062" w:rsidRDefault="005818B3">
    <w:pPr>
      <w:pStyle w:val="Header"/>
    </w:pPr>
    <w:r>
      <w:rPr>
        <w:noProof/>
      </w:rPr>
      <w:pict w14:anchorId="61DAC7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23.95pt;height:211.95pt;rotation:315;z-index:-251653120;mso-wrap-edited:f;mso-position-horizontal:center;mso-position-horizontal-relative:margin;mso-position-vertical:center;mso-position-vertical-relative:margin" wrapcoords="21064 8395 19841 6411 19420 5877 19153 6334 18121 4808 17585 4274 17394 4503 17165 4579 16706 4732 16515 4884 16133 5571 15903 6716 15865 8243 15368 8472 15215 8472 14986 8930 15521 11067 15903 11906 14603 10074 13418 8472 12424 8243 11545 8395 10895 8853 10704 9235 10551 9769 9786 8624 9175 7785 8869 8243 8410 8701 7340 8243 7110 8624 7034 9616 4893 6563 4396 5877 3249 5419 1376 5419 1070 5495 879 5648 841 6029 802 16104 1185 16867 2905 16944 3708 16791 4281 16333 4855 15799 5352 15036 5658 13967 6996 16486 7684 17325 8028 16715 8028 11754 8754 13127 11354 17096 11583 17020 12463 17020 13112 16638 14030 16944 14221 16715 14221 16486 14259 13814 15292 15799 16438 17325 16783 16791 16783 16486 16859 15570 16859 12059 17929 14120 19994 17249 20261 17096 20988 16867 21217 16638 21332 16257 21332 15799 20682 13585 19994 11448 20109 9845 20911 9845 21179 9693 21332 9464 21332 8930 21064 8395" fillcolor="silver" stroked="f">
          <v:fill opacity="33423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7054"/>
    <w:multiLevelType w:val="hybridMultilevel"/>
    <w:tmpl w:val="0FA0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C2BE6"/>
    <w:multiLevelType w:val="hybridMultilevel"/>
    <w:tmpl w:val="AA3C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B6D06"/>
    <w:multiLevelType w:val="hybridMultilevel"/>
    <w:tmpl w:val="77789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8A5ABF"/>
    <w:multiLevelType w:val="hybridMultilevel"/>
    <w:tmpl w:val="58F0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911A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69FD507E"/>
    <w:multiLevelType w:val="hybridMultilevel"/>
    <w:tmpl w:val="7F86C2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782EDF"/>
    <w:multiLevelType w:val="hybridMultilevel"/>
    <w:tmpl w:val="A06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86"/>
    <w:rsid w:val="000039B3"/>
    <w:rsid w:val="00003B3C"/>
    <w:rsid w:val="00012F9D"/>
    <w:rsid w:val="00015E9B"/>
    <w:rsid w:val="00015FA9"/>
    <w:rsid w:val="00030539"/>
    <w:rsid w:val="000342F5"/>
    <w:rsid w:val="00034D2D"/>
    <w:rsid w:val="00042A1E"/>
    <w:rsid w:val="000464B5"/>
    <w:rsid w:val="00046BBE"/>
    <w:rsid w:val="00050D2F"/>
    <w:rsid w:val="0005184D"/>
    <w:rsid w:val="00052A06"/>
    <w:rsid w:val="00053118"/>
    <w:rsid w:val="0005481A"/>
    <w:rsid w:val="000551E2"/>
    <w:rsid w:val="000566A6"/>
    <w:rsid w:val="00060668"/>
    <w:rsid w:val="000622D9"/>
    <w:rsid w:val="000750B8"/>
    <w:rsid w:val="00080097"/>
    <w:rsid w:val="00085E03"/>
    <w:rsid w:val="00093972"/>
    <w:rsid w:val="0009631E"/>
    <w:rsid w:val="000A348F"/>
    <w:rsid w:val="000A5AE5"/>
    <w:rsid w:val="000B65C0"/>
    <w:rsid w:val="000C1694"/>
    <w:rsid w:val="000C1874"/>
    <w:rsid w:val="000C32D5"/>
    <w:rsid w:val="000C65C7"/>
    <w:rsid w:val="000C6DC0"/>
    <w:rsid w:val="000D1FD7"/>
    <w:rsid w:val="000F09D8"/>
    <w:rsid w:val="000F22FC"/>
    <w:rsid w:val="000F64BF"/>
    <w:rsid w:val="000F6A72"/>
    <w:rsid w:val="00100284"/>
    <w:rsid w:val="0010228C"/>
    <w:rsid w:val="00102E28"/>
    <w:rsid w:val="00125ED2"/>
    <w:rsid w:val="00126194"/>
    <w:rsid w:val="001270BE"/>
    <w:rsid w:val="001309AE"/>
    <w:rsid w:val="00140B2B"/>
    <w:rsid w:val="00140BBC"/>
    <w:rsid w:val="001423AC"/>
    <w:rsid w:val="0014399A"/>
    <w:rsid w:val="001450D4"/>
    <w:rsid w:val="00147C95"/>
    <w:rsid w:val="00150A10"/>
    <w:rsid w:val="00154E52"/>
    <w:rsid w:val="001553B1"/>
    <w:rsid w:val="00164F1F"/>
    <w:rsid w:val="001740EC"/>
    <w:rsid w:val="001817B1"/>
    <w:rsid w:val="00181B20"/>
    <w:rsid w:val="001843C7"/>
    <w:rsid w:val="00185A0D"/>
    <w:rsid w:val="001872E7"/>
    <w:rsid w:val="00191709"/>
    <w:rsid w:val="00193E4E"/>
    <w:rsid w:val="001A4855"/>
    <w:rsid w:val="001A5F50"/>
    <w:rsid w:val="001B13D4"/>
    <w:rsid w:val="001B40DB"/>
    <w:rsid w:val="001B4226"/>
    <w:rsid w:val="001F333C"/>
    <w:rsid w:val="001F5F85"/>
    <w:rsid w:val="0020530C"/>
    <w:rsid w:val="00212622"/>
    <w:rsid w:val="00214101"/>
    <w:rsid w:val="00220AAD"/>
    <w:rsid w:val="00220ECE"/>
    <w:rsid w:val="0023065A"/>
    <w:rsid w:val="00233CFB"/>
    <w:rsid w:val="00236830"/>
    <w:rsid w:val="002375F0"/>
    <w:rsid w:val="002519FD"/>
    <w:rsid w:val="00256043"/>
    <w:rsid w:val="0026513D"/>
    <w:rsid w:val="00271476"/>
    <w:rsid w:val="002732E0"/>
    <w:rsid w:val="002771DA"/>
    <w:rsid w:val="002A07DA"/>
    <w:rsid w:val="002A0E50"/>
    <w:rsid w:val="002A32A2"/>
    <w:rsid w:val="002A54CC"/>
    <w:rsid w:val="002A5A00"/>
    <w:rsid w:val="002B2045"/>
    <w:rsid w:val="002B2096"/>
    <w:rsid w:val="002B3060"/>
    <w:rsid w:val="002B360A"/>
    <w:rsid w:val="002B6970"/>
    <w:rsid w:val="002C1C50"/>
    <w:rsid w:val="002C47AB"/>
    <w:rsid w:val="002C7CE3"/>
    <w:rsid w:val="002D080A"/>
    <w:rsid w:val="002E72A4"/>
    <w:rsid w:val="002F2D96"/>
    <w:rsid w:val="002F541A"/>
    <w:rsid w:val="002F6A52"/>
    <w:rsid w:val="00300A61"/>
    <w:rsid w:val="003033AA"/>
    <w:rsid w:val="003047DC"/>
    <w:rsid w:val="00305048"/>
    <w:rsid w:val="003118B5"/>
    <w:rsid w:val="00311D7B"/>
    <w:rsid w:val="00312531"/>
    <w:rsid w:val="003179C4"/>
    <w:rsid w:val="0032493A"/>
    <w:rsid w:val="003250AE"/>
    <w:rsid w:val="003410F4"/>
    <w:rsid w:val="003412DB"/>
    <w:rsid w:val="00341655"/>
    <w:rsid w:val="0035259E"/>
    <w:rsid w:val="0038579E"/>
    <w:rsid w:val="00387897"/>
    <w:rsid w:val="00387932"/>
    <w:rsid w:val="00393503"/>
    <w:rsid w:val="00397517"/>
    <w:rsid w:val="00397717"/>
    <w:rsid w:val="003C3E30"/>
    <w:rsid w:val="003D215B"/>
    <w:rsid w:val="003D3005"/>
    <w:rsid w:val="003D5794"/>
    <w:rsid w:val="003D5E6D"/>
    <w:rsid w:val="003E2D53"/>
    <w:rsid w:val="003E3794"/>
    <w:rsid w:val="003F0F5D"/>
    <w:rsid w:val="004266A3"/>
    <w:rsid w:val="00437396"/>
    <w:rsid w:val="0044195C"/>
    <w:rsid w:val="00446E22"/>
    <w:rsid w:val="0045528A"/>
    <w:rsid w:val="00456576"/>
    <w:rsid w:val="0046768F"/>
    <w:rsid w:val="00474AE8"/>
    <w:rsid w:val="00475A5E"/>
    <w:rsid w:val="00487AA6"/>
    <w:rsid w:val="00487C23"/>
    <w:rsid w:val="00490EB4"/>
    <w:rsid w:val="004A1222"/>
    <w:rsid w:val="004A2978"/>
    <w:rsid w:val="004A7203"/>
    <w:rsid w:val="004B00D1"/>
    <w:rsid w:val="004B5241"/>
    <w:rsid w:val="004C33BC"/>
    <w:rsid w:val="004C6D14"/>
    <w:rsid w:val="004D2E0E"/>
    <w:rsid w:val="004D5381"/>
    <w:rsid w:val="004D7D32"/>
    <w:rsid w:val="004F3554"/>
    <w:rsid w:val="004F55B8"/>
    <w:rsid w:val="004F570A"/>
    <w:rsid w:val="005058F9"/>
    <w:rsid w:val="00506417"/>
    <w:rsid w:val="0051017F"/>
    <w:rsid w:val="00510671"/>
    <w:rsid w:val="0051224C"/>
    <w:rsid w:val="00513C33"/>
    <w:rsid w:val="00515C8A"/>
    <w:rsid w:val="005261F4"/>
    <w:rsid w:val="00530CB4"/>
    <w:rsid w:val="0053621C"/>
    <w:rsid w:val="005428C7"/>
    <w:rsid w:val="005506AC"/>
    <w:rsid w:val="00556C89"/>
    <w:rsid w:val="00562C94"/>
    <w:rsid w:val="0056719C"/>
    <w:rsid w:val="00573EDC"/>
    <w:rsid w:val="005759F7"/>
    <w:rsid w:val="0057701B"/>
    <w:rsid w:val="00580381"/>
    <w:rsid w:val="005818B3"/>
    <w:rsid w:val="00592166"/>
    <w:rsid w:val="00592899"/>
    <w:rsid w:val="005A30C8"/>
    <w:rsid w:val="005A4B82"/>
    <w:rsid w:val="005B0BC8"/>
    <w:rsid w:val="005B1EE2"/>
    <w:rsid w:val="005B2764"/>
    <w:rsid w:val="005B40CD"/>
    <w:rsid w:val="005C2D6E"/>
    <w:rsid w:val="005C478E"/>
    <w:rsid w:val="005C4E56"/>
    <w:rsid w:val="005C50BE"/>
    <w:rsid w:val="005C61DB"/>
    <w:rsid w:val="005C7482"/>
    <w:rsid w:val="005D40E5"/>
    <w:rsid w:val="005D73AA"/>
    <w:rsid w:val="005F2863"/>
    <w:rsid w:val="005F35A6"/>
    <w:rsid w:val="005F4017"/>
    <w:rsid w:val="005F4C08"/>
    <w:rsid w:val="005F619B"/>
    <w:rsid w:val="005F7956"/>
    <w:rsid w:val="006013B9"/>
    <w:rsid w:val="0060561E"/>
    <w:rsid w:val="006127DD"/>
    <w:rsid w:val="00622AD2"/>
    <w:rsid w:val="00624877"/>
    <w:rsid w:val="00625CC0"/>
    <w:rsid w:val="00635AA6"/>
    <w:rsid w:val="00635F84"/>
    <w:rsid w:val="006449C0"/>
    <w:rsid w:val="0064550D"/>
    <w:rsid w:val="00664471"/>
    <w:rsid w:val="00664B09"/>
    <w:rsid w:val="0066555A"/>
    <w:rsid w:val="00676810"/>
    <w:rsid w:val="006824CD"/>
    <w:rsid w:val="00684668"/>
    <w:rsid w:val="006866F0"/>
    <w:rsid w:val="00692799"/>
    <w:rsid w:val="006A182A"/>
    <w:rsid w:val="006A548B"/>
    <w:rsid w:val="006B3263"/>
    <w:rsid w:val="006C0425"/>
    <w:rsid w:val="006C569B"/>
    <w:rsid w:val="006C74F3"/>
    <w:rsid w:val="006C7D17"/>
    <w:rsid w:val="006D5DA5"/>
    <w:rsid w:val="006D6907"/>
    <w:rsid w:val="006E1D6A"/>
    <w:rsid w:val="006E4468"/>
    <w:rsid w:val="006F1AB8"/>
    <w:rsid w:val="006F2B1E"/>
    <w:rsid w:val="006F31D7"/>
    <w:rsid w:val="006F3287"/>
    <w:rsid w:val="00702170"/>
    <w:rsid w:val="00704ED7"/>
    <w:rsid w:val="0071017A"/>
    <w:rsid w:val="00711F04"/>
    <w:rsid w:val="00713875"/>
    <w:rsid w:val="00714F59"/>
    <w:rsid w:val="00722E10"/>
    <w:rsid w:val="00726D09"/>
    <w:rsid w:val="00730B4E"/>
    <w:rsid w:val="00736029"/>
    <w:rsid w:val="00740CDB"/>
    <w:rsid w:val="0074209C"/>
    <w:rsid w:val="0075511C"/>
    <w:rsid w:val="00764106"/>
    <w:rsid w:val="00776AAA"/>
    <w:rsid w:val="00781E3F"/>
    <w:rsid w:val="00783FE7"/>
    <w:rsid w:val="00792E8C"/>
    <w:rsid w:val="00796C43"/>
    <w:rsid w:val="00796E34"/>
    <w:rsid w:val="007A11A5"/>
    <w:rsid w:val="007B2127"/>
    <w:rsid w:val="007B657F"/>
    <w:rsid w:val="007C181E"/>
    <w:rsid w:val="007C7810"/>
    <w:rsid w:val="007E1149"/>
    <w:rsid w:val="007E14A0"/>
    <w:rsid w:val="007E1965"/>
    <w:rsid w:val="007E1F31"/>
    <w:rsid w:val="007E3E17"/>
    <w:rsid w:val="007F1326"/>
    <w:rsid w:val="007F45F1"/>
    <w:rsid w:val="007F6DAE"/>
    <w:rsid w:val="008002FE"/>
    <w:rsid w:val="00804EA4"/>
    <w:rsid w:val="008103F3"/>
    <w:rsid w:val="00810D6F"/>
    <w:rsid w:val="00836F4B"/>
    <w:rsid w:val="008379D7"/>
    <w:rsid w:val="00837B5F"/>
    <w:rsid w:val="0084387D"/>
    <w:rsid w:val="00850A49"/>
    <w:rsid w:val="008526FA"/>
    <w:rsid w:val="00853061"/>
    <w:rsid w:val="00864947"/>
    <w:rsid w:val="00865883"/>
    <w:rsid w:val="008661B2"/>
    <w:rsid w:val="0087332B"/>
    <w:rsid w:val="008816D7"/>
    <w:rsid w:val="0088250F"/>
    <w:rsid w:val="00887188"/>
    <w:rsid w:val="008A1AC6"/>
    <w:rsid w:val="008A2811"/>
    <w:rsid w:val="008A4B3B"/>
    <w:rsid w:val="008A5141"/>
    <w:rsid w:val="008C0254"/>
    <w:rsid w:val="008C2E3C"/>
    <w:rsid w:val="008D38D4"/>
    <w:rsid w:val="008D6062"/>
    <w:rsid w:val="008D6B28"/>
    <w:rsid w:val="008E06BD"/>
    <w:rsid w:val="008F1B3E"/>
    <w:rsid w:val="008F5F9C"/>
    <w:rsid w:val="00900124"/>
    <w:rsid w:val="00901E40"/>
    <w:rsid w:val="00914C29"/>
    <w:rsid w:val="009210B5"/>
    <w:rsid w:val="009238B4"/>
    <w:rsid w:val="00924BE9"/>
    <w:rsid w:val="00925D48"/>
    <w:rsid w:val="009274D0"/>
    <w:rsid w:val="00931FB5"/>
    <w:rsid w:val="009333C2"/>
    <w:rsid w:val="0094635D"/>
    <w:rsid w:val="00951F0B"/>
    <w:rsid w:val="009534A6"/>
    <w:rsid w:val="00955530"/>
    <w:rsid w:val="00957D97"/>
    <w:rsid w:val="00976CC6"/>
    <w:rsid w:val="00977983"/>
    <w:rsid w:val="009840BE"/>
    <w:rsid w:val="009845E7"/>
    <w:rsid w:val="00987079"/>
    <w:rsid w:val="009A75FD"/>
    <w:rsid w:val="009B3EDF"/>
    <w:rsid w:val="009B5FE8"/>
    <w:rsid w:val="009C2E9E"/>
    <w:rsid w:val="009C5160"/>
    <w:rsid w:val="009C5CAB"/>
    <w:rsid w:val="009D5049"/>
    <w:rsid w:val="009D59BD"/>
    <w:rsid w:val="009D67C6"/>
    <w:rsid w:val="009E2721"/>
    <w:rsid w:val="009F58C2"/>
    <w:rsid w:val="009F5BB8"/>
    <w:rsid w:val="00A12F00"/>
    <w:rsid w:val="00A1699E"/>
    <w:rsid w:val="00A16C63"/>
    <w:rsid w:val="00A2403E"/>
    <w:rsid w:val="00A35524"/>
    <w:rsid w:val="00A4199E"/>
    <w:rsid w:val="00A4745F"/>
    <w:rsid w:val="00A54379"/>
    <w:rsid w:val="00A54B4F"/>
    <w:rsid w:val="00A571D2"/>
    <w:rsid w:val="00A57413"/>
    <w:rsid w:val="00A669E5"/>
    <w:rsid w:val="00A7258F"/>
    <w:rsid w:val="00A73555"/>
    <w:rsid w:val="00A749C8"/>
    <w:rsid w:val="00A82183"/>
    <w:rsid w:val="00A84B26"/>
    <w:rsid w:val="00A94993"/>
    <w:rsid w:val="00A951FE"/>
    <w:rsid w:val="00AA575B"/>
    <w:rsid w:val="00AB40CF"/>
    <w:rsid w:val="00AB561A"/>
    <w:rsid w:val="00AB7245"/>
    <w:rsid w:val="00AC24F8"/>
    <w:rsid w:val="00AC7640"/>
    <w:rsid w:val="00AD6693"/>
    <w:rsid w:val="00AD75DE"/>
    <w:rsid w:val="00AD7F4D"/>
    <w:rsid w:val="00AE263E"/>
    <w:rsid w:val="00AF003A"/>
    <w:rsid w:val="00AF3013"/>
    <w:rsid w:val="00AF6A1D"/>
    <w:rsid w:val="00B0170C"/>
    <w:rsid w:val="00B01A3C"/>
    <w:rsid w:val="00B23F4C"/>
    <w:rsid w:val="00B34081"/>
    <w:rsid w:val="00B34B3D"/>
    <w:rsid w:val="00B4526B"/>
    <w:rsid w:val="00B459B3"/>
    <w:rsid w:val="00B52267"/>
    <w:rsid w:val="00B55F86"/>
    <w:rsid w:val="00B60D27"/>
    <w:rsid w:val="00B6469D"/>
    <w:rsid w:val="00B96250"/>
    <w:rsid w:val="00BA1C48"/>
    <w:rsid w:val="00BB10A1"/>
    <w:rsid w:val="00BB37CB"/>
    <w:rsid w:val="00BC1941"/>
    <w:rsid w:val="00BC279C"/>
    <w:rsid w:val="00BC6ED5"/>
    <w:rsid w:val="00BC7B0B"/>
    <w:rsid w:val="00BD0435"/>
    <w:rsid w:val="00BD136D"/>
    <w:rsid w:val="00BD3EC3"/>
    <w:rsid w:val="00BD4795"/>
    <w:rsid w:val="00BD5E87"/>
    <w:rsid w:val="00BD654F"/>
    <w:rsid w:val="00BE56E1"/>
    <w:rsid w:val="00BF1F2E"/>
    <w:rsid w:val="00BF1F72"/>
    <w:rsid w:val="00BF727E"/>
    <w:rsid w:val="00C06FF6"/>
    <w:rsid w:val="00C13223"/>
    <w:rsid w:val="00C138A8"/>
    <w:rsid w:val="00C21769"/>
    <w:rsid w:val="00C22E6B"/>
    <w:rsid w:val="00C32389"/>
    <w:rsid w:val="00C3400E"/>
    <w:rsid w:val="00C35086"/>
    <w:rsid w:val="00C63750"/>
    <w:rsid w:val="00C76420"/>
    <w:rsid w:val="00C77724"/>
    <w:rsid w:val="00C903B2"/>
    <w:rsid w:val="00C90A33"/>
    <w:rsid w:val="00C93D56"/>
    <w:rsid w:val="00C95B60"/>
    <w:rsid w:val="00C95C81"/>
    <w:rsid w:val="00C97FAC"/>
    <w:rsid w:val="00CA1692"/>
    <w:rsid w:val="00CB01ED"/>
    <w:rsid w:val="00CB7D6F"/>
    <w:rsid w:val="00CC3B88"/>
    <w:rsid w:val="00CD744B"/>
    <w:rsid w:val="00CE53FE"/>
    <w:rsid w:val="00CF6CAA"/>
    <w:rsid w:val="00D0181E"/>
    <w:rsid w:val="00D0733A"/>
    <w:rsid w:val="00D07392"/>
    <w:rsid w:val="00D236D5"/>
    <w:rsid w:val="00D33979"/>
    <w:rsid w:val="00D43336"/>
    <w:rsid w:val="00D43477"/>
    <w:rsid w:val="00D5566B"/>
    <w:rsid w:val="00D55FA7"/>
    <w:rsid w:val="00D67098"/>
    <w:rsid w:val="00D862B8"/>
    <w:rsid w:val="00D870E8"/>
    <w:rsid w:val="00D91678"/>
    <w:rsid w:val="00DA1114"/>
    <w:rsid w:val="00DA4146"/>
    <w:rsid w:val="00DB028D"/>
    <w:rsid w:val="00DB177B"/>
    <w:rsid w:val="00DC1794"/>
    <w:rsid w:val="00DC2BCA"/>
    <w:rsid w:val="00DC40FA"/>
    <w:rsid w:val="00DC4BFF"/>
    <w:rsid w:val="00DC64AD"/>
    <w:rsid w:val="00DC7AA3"/>
    <w:rsid w:val="00DD04DE"/>
    <w:rsid w:val="00DD2275"/>
    <w:rsid w:val="00DD3BA6"/>
    <w:rsid w:val="00DD7F73"/>
    <w:rsid w:val="00DF325D"/>
    <w:rsid w:val="00E019EF"/>
    <w:rsid w:val="00E04F63"/>
    <w:rsid w:val="00E1158A"/>
    <w:rsid w:val="00E170A7"/>
    <w:rsid w:val="00E274CD"/>
    <w:rsid w:val="00E275D0"/>
    <w:rsid w:val="00E305C0"/>
    <w:rsid w:val="00E37617"/>
    <w:rsid w:val="00E46F3A"/>
    <w:rsid w:val="00E46FB0"/>
    <w:rsid w:val="00E52615"/>
    <w:rsid w:val="00E52CF4"/>
    <w:rsid w:val="00E57BBD"/>
    <w:rsid w:val="00E61E82"/>
    <w:rsid w:val="00E76F84"/>
    <w:rsid w:val="00E80818"/>
    <w:rsid w:val="00E956FE"/>
    <w:rsid w:val="00EA0E02"/>
    <w:rsid w:val="00EA2275"/>
    <w:rsid w:val="00EA5B67"/>
    <w:rsid w:val="00EA7FA4"/>
    <w:rsid w:val="00EB582B"/>
    <w:rsid w:val="00EB6647"/>
    <w:rsid w:val="00EB6674"/>
    <w:rsid w:val="00EB6900"/>
    <w:rsid w:val="00EC2DDE"/>
    <w:rsid w:val="00EC7D25"/>
    <w:rsid w:val="00ED236C"/>
    <w:rsid w:val="00ED2385"/>
    <w:rsid w:val="00ED238F"/>
    <w:rsid w:val="00ED7EF5"/>
    <w:rsid w:val="00EE0919"/>
    <w:rsid w:val="00EE30AD"/>
    <w:rsid w:val="00EE512E"/>
    <w:rsid w:val="00EE7DD3"/>
    <w:rsid w:val="00EF017D"/>
    <w:rsid w:val="00EF0F98"/>
    <w:rsid w:val="00EF566D"/>
    <w:rsid w:val="00EF71F5"/>
    <w:rsid w:val="00F07360"/>
    <w:rsid w:val="00F11CB0"/>
    <w:rsid w:val="00F12F18"/>
    <w:rsid w:val="00F1456D"/>
    <w:rsid w:val="00F17510"/>
    <w:rsid w:val="00F17530"/>
    <w:rsid w:val="00F242EF"/>
    <w:rsid w:val="00F24581"/>
    <w:rsid w:val="00F406E5"/>
    <w:rsid w:val="00F41EC1"/>
    <w:rsid w:val="00F462D4"/>
    <w:rsid w:val="00F479D4"/>
    <w:rsid w:val="00F53017"/>
    <w:rsid w:val="00F53693"/>
    <w:rsid w:val="00F54397"/>
    <w:rsid w:val="00F545F1"/>
    <w:rsid w:val="00F55957"/>
    <w:rsid w:val="00F615EB"/>
    <w:rsid w:val="00F66D80"/>
    <w:rsid w:val="00F705D6"/>
    <w:rsid w:val="00F70787"/>
    <w:rsid w:val="00F7471B"/>
    <w:rsid w:val="00F76085"/>
    <w:rsid w:val="00F763BD"/>
    <w:rsid w:val="00F831AA"/>
    <w:rsid w:val="00F9240A"/>
    <w:rsid w:val="00FA0876"/>
    <w:rsid w:val="00FA392D"/>
    <w:rsid w:val="00FA461E"/>
    <w:rsid w:val="00FA4D08"/>
    <w:rsid w:val="00FB1E21"/>
    <w:rsid w:val="00FB28D1"/>
    <w:rsid w:val="00FC1E73"/>
    <w:rsid w:val="00FC3417"/>
    <w:rsid w:val="00FC5BA6"/>
    <w:rsid w:val="00FC6483"/>
    <w:rsid w:val="00FC7382"/>
    <w:rsid w:val="00FD589D"/>
    <w:rsid w:val="00FD5DEB"/>
    <w:rsid w:val="00FD5F32"/>
    <w:rsid w:val="00FD7524"/>
    <w:rsid w:val="00FF4BF3"/>
    <w:rsid w:val="00FF5C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D5E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017"/>
    <w:pPr>
      <w:jc w:val="both"/>
    </w:pPr>
  </w:style>
  <w:style w:type="paragraph" w:styleId="Heading1">
    <w:name w:val="heading 1"/>
    <w:basedOn w:val="Normal"/>
    <w:next w:val="Normal"/>
    <w:link w:val="Heading1Char"/>
    <w:uiPriority w:val="9"/>
    <w:qFormat/>
    <w:rsid w:val="009D59BD"/>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59BD"/>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59BD"/>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59BD"/>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D59BD"/>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D59BD"/>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59BD"/>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59BD"/>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59BD"/>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F73"/>
    <w:rPr>
      <w:rFonts w:ascii="Tahoma" w:hAnsi="Tahoma" w:cs="Tahoma"/>
      <w:sz w:val="16"/>
      <w:szCs w:val="16"/>
    </w:rPr>
  </w:style>
  <w:style w:type="paragraph" w:styleId="ListParagraph">
    <w:name w:val="List Paragraph"/>
    <w:basedOn w:val="Normal"/>
    <w:uiPriority w:val="34"/>
    <w:qFormat/>
    <w:rsid w:val="00C138A8"/>
    <w:pPr>
      <w:contextualSpacing/>
    </w:pPr>
    <w:rPr>
      <w:rFonts w:ascii="Times New Roman" w:hAnsi="Times New Roman"/>
    </w:rPr>
  </w:style>
  <w:style w:type="table" w:styleId="TableGrid">
    <w:name w:val="Table Grid"/>
    <w:basedOn w:val="TableNormal"/>
    <w:uiPriority w:val="59"/>
    <w:rsid w:val="00864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54379"/>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A54379"/>
    <w:rPr>
      <w:rFonts w:eastAsiaTheme="minorEastAsia"/>
      <w:sz w:val="20"/>
      <w:szCs w:val="20"/>
      <w:lang w:val="en-GB" w:eastAsia="en-GB"/>
    </w:rPr>
  </w:style>
  <w:style w:type="character" w:styleId="FootnoteReference">
    <w:name w:val="footnote reference"/>
    <w:basedOn w:val="DefaultParagraphFont"/>
    <w:uiPriority w:val="99"/>
    <w:unhideWhenUsed/>
    <w:rsid w:val="00A54379"/>
    <w:rPr>
      <w:vertAlign w:val="superscript"/>
    </w:rPr>
  </w:style>
  <w:style w:type="character" w:styleId="Strong">
    <w:name w:val="Strong"/>
    <w:basedOn w:val="DefaultParagraphFont"/>
    <w:uiPriority w:val="22"/>
    <w:qFormat/>
    <w:rsid w:val="00A54379"/>
    <w:rPr>
      <w:b/>
      <w:bCs/>
    </w:rPr>
  </w:style>
  <w:style w:type="table" w:customStyle="1" w:styleId="LightList1">
    <w:name w:val="Light List1"/>
    <w:basedOn w:val="TableNormal"/>
    <w:uiPriority w:val="61"/>
    <w:rsid w:val="00EE09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A54B4F"/>
    <w:pPr>
      <w:spacing w:line="240" w:lineRule="auto"/>
    </w:pPr>
    <w:rPr>
      <w:b/>
      <w:bCs/>
      <w:color w:val="4F81BD" w:themeColor="accent1"/>
      <w:sz w:val="18"/>
      <w:szCs w:val="18"/>
    </w:rPr>
  </w:style>
  <w:style w:type="paragraph" w:styleId="Header">
    <w:name w:val="header"/>
    <w:basedOn w:val="Normal"/>
    <w:link w:val="HeaderChar"/>
    <w:uiPriority w:val="99"/>
    <w:unhideWhenUsed/>
    <w:rsid w:val="004D5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381"/>
  </w:style>
  <w:style w:type="paragraph" w:styleId="Footer">
    <w:name w:val="footer"/>
    <w:basedOn w:val="Normal"/>
    <w:link w:val="FooterChar"/>
    <w:uiPriority w:val="99"/>
    <w:unhideWhenUsed/>
    <w:rsid w:val="004D5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381"/>
  </w:style>
  <w:style w:type="paragraph" w:styleId="TableofFigures">
    <w:name w:val="table of figures"/>
    <w:basedOn w:val="Normal"/>
    <w:next w:val="Normal"/>
    <w:uiPriority w:val="99"/>
    <w:unhideWhenUsed/>
    <w:rsid w:val="004D5381"/>
    <w:pPr>
      <w:spacing w:after="0"/>
    </w:pPr>
  </w:style>
  <w:style w:type="character" w:styleId="Hyperlink">
    <w:name w:val="Hyperlink"/>
    <w:basedOn w:val="DefaultParagraphFont"/>
    <w:uiPriority w:val="99"/>
    <w:unhideWhenUsed/>
    <w:rsid w:val="004D5381"/>
    <w:rPr>
      <w:color w:val="0000FF" w:themeColor="hyperlink"/>
      <w:u w:val="single"/>
    </w:rPr>
  </w:style>
  <w:style w:type="character" w:customStyle="1" w:styleId="Heading1Char">
    <w:name w:val="Heading 1 Char"/>
    <w:basedOn w:val="DefaultParagraphFont"/>
    <w:link w:val="Heading1"/>
    <w:uiPriority w:val="9"/>
    <w:rsid w:val="009D59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59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D59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D59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D59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D59B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D59B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59B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59BD"/>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5F7956"/>
    <w:pPr>
      <w:numPr>
        <w:numId w:val="0"/>
      </w:numPr>
      <w:outlineLvl w:val="9"/>
    </w:pPr>
    <w:rPr>
      <w:lang w:eastAsia="ja-JP"/>
    </w:rPr>
  </w:style>
  <w:style w:type="paragraph" w:styleId="TOC1">
    <w:name w:val="toc 1"/>
    <w:basedOn w:val="Normal"/>
    <w:next w:val="Normal"/>
    <w:autoRedefine/>
    <w:uiPriority w:val="39"/>
    <w:unhideWhenUsed/>
    <w:rsid w:val="005F7956"/>
    <w:pPr>
      <w:spacing w:after="100"/>
    </w:pPr>
  </w:style>
  <w:style w:type="paragraph" w:styleId="TOC2">
    <w:name w:val="toc 2"/>
    <w:basedOn w:val="Normal"/>
    <w:next w:val="Normal"/>
    <w:autoRedefine/>
    <w:uiPriority w:val="39"/>
    <w:unhideWhenUsed/>
    <w:rsid w:val="005F7956"/>
    <w:pPr>
      <w:spacing w:after="100"/>
      <w:ind w:left="220"/>
    </w:pPr>
  </w:style>
  <w:style w:type="paragraph" w:styleId="NoSpacing">
    <w:name w:val="No Spacing"/>
    <w:link w:val="NoSpacingChar"/>
    <w:uiPriority w:val="1"/>
    <w:qFormat/>
    <w:rsid w:val="009B3ED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B3EDF"/>
    <w:rPr>
      <w:rFonts w:eastAsiaTheme="minorEastAsia"/>
      <w:lang w:eastAsia="ja-JP"/>
    </w:rPr>
  </w:style>
  <w:style w:type="character" w:styleId="PageNumber">
    <w:name w:val="page number"/>
    <w:basedOn w:val="DefaultParagraphFont"/>
    <w:uiPriority w:val="99"/>
    <w:semiHidden/>
    <w:unhideWhenUsed/>
    <w:rsid w:val="00567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017"/>
    <w:pPr>
      <w:jc w:val="both"/>
    </w:pPr>
  </w:style>
  <w:style w:type="paragraph" w:styleId="Heading1">
    <w:name w:val="heading 1"/>
    <w:basedOn w:val="Normal"/>
    <w:next w:val="Normal"/>
    <w:link w:val="Heading1Char"/>
    <w:uiPriority w:val="9"/>
    <w:qFormat/>
    <w:rsid w:val="009D59BD"/>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59BD"/>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59BD"/>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59BD"/>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D59BD"/>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D59BD"/>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59BD"/>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59BD"/>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59BD"/>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F73"/>
    <w:rPr>
      <w:rFonts w:ascii="Tahoma" w:hAnsi="Tahoma" w:cs="Tahoma"/>
      <w:sz w:val="16"/>
      <w:szCs w:val="16"/>
    </w:rPr>
  </w:style>
  <w:style w:type="paragraph" w:styleId="ListParagraph">
    <w:name w:val="List Paragraph"/>
    <w:basedOn w:val="Normal"/>
    <w:uiPriority w:val="34"/>
    <w:qFormat/>
    <w:rsid w:val="00C138A8"/>
    <w:pPr>
      <w:contextualSpacing/>
    </w:pPr>
    <w:rPr>
      <w:rFonts w:ascii="Times New Roman" w:hAnsi="Times New Roman"/>
    </w:rPr>
  </w:style>
  <w:style w:type="table" w:styleId="TableGrid">
    <w:name w:val="Table Grid"/>
    <w:basedOn w:val="TableNormal"/>
    <w:uiPriority w:val="59"/>
    <w:rsid w:val="00864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54379"/>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A54379"/>
    <w:rPr>
      <w:rFonts w:eastAsiaTheme="minorEastAsia"/>
      <w:sz w:val="20"/>
      <w:szCs w:val="20"/>
      <w:lang w:val="en-GB" w:eastAsia="en-GB"/>
    </w:rPr>
  </w:style>
  <w:style w:type="character" w:styleId="FootnoteReference">
    <w:name w:val="footnote reference"/>
    <w:basedOn w:val="DefaultParagraphFont"/>
    <w:uiPriority w:val="99"/>
    <w:unhideWhenUsed/>
    <w:rsid w:val="00A54379"/>
    <w:rPr>
      <w:vertAlign w:val="superscript"/>
    </w:rPr>
  </w:style>
  <w:style w:type="character" w:styleId="Strong">
    <w:name w:val="Strong"/>
    <w:basedOn w:val="DefaultParagraphFont"/>
    <w:uiPriority w:val="22"/>
    <w:qFormat/>
    <w:rsid w:val="00A54379"/>
    <w:rPr>
      <w:b/>
      <w:bCs/>
    </w:rPr>
  </w:style>
  <w:style w:type="table" w:customStyle="1" w:styleId="LightList1">
    <w:name w:val="Light List1"/>
    <w:basedOn w:val="TableNormal"/>
    <w:uiPriority w:val="61"/>
    <w:rsid w:val="00EE09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A54B4F"/>
    <w:pPr>
      <w:spacing w:line="240" w:lineRule="auto"/>
    </w:pPr>
    <w:rPr>
      <w:b/>
      <w:bCs/>
      <w:color w:val="4F81BD" w:themeColor="accent1"/>
      <w:sz w:val="18"/>
      <w:szCs w:val="18"/>
    </w:rPr>
  </w:style>
  <w:style w:type="paragraph" w:styleId="Header">
    <w:name w:val="header"/>
    <w:basedOn w:val="Normal"/>
    <w:link w:val="HeaderChar"/>
    <w:uiPriority w:val="99"/>
    <w:unhideWhenUsed/>
    <w:rsid w:val="004D5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381"/>
  </w:style>
  <w:style w:type="paragraph" w:styleId="Footer">
    <w:name w:val="footer"/>
    <w:basedOn w:val="Normal"/>
    <w:link w:val="FooterChar"/>
    <w:uiPriority w:val="99"/>
    <w:unhideWhenUsed/>
    <w:rsid w:val="004D5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381"/>
  </w:style>
  <w:style w:type="paragraph" w:styleId="TableofFigures">
    <w:name w:val="table of figures"/>
    <w:basedOn w:val="Normal"/>
    <w:next w:val="Normal"/>
    <w:uiPriority w:val="99"/>
    <w:unhideWhenUsed/>
    <w:rsid w:val="004D5381"/>
    <w:pPr>
      <w:spacing w:after="0"/>
    </w:pPr>
  </w:style>
  <w:style w:type="character" w:styleId="Hyperlink">
    <w:name w:val="Hyperlink"/>
    <w:basedOn w:val="DefaultParagraphFont"/>
    <w:uiPriority w:val="99"/>
    <w:unhideWhenUsed/>
    <w:rsid w:val="004D5381"/>
    <w:rPr>
      <w:color w:val="0000FF" w:themeColor="hyperlink"/>
      <w:u w:val="single"/>
    </w:rPr>
  </w:style>
  <w:style w:type="character" w:customStyle="1" w:styleId="Heading1Char">
    <w:name w:val="Heading 1 Char"/>
    <w:basedOn w:val="DefaultParagraphFont"/>
    <w:link w:val="Heading1"/>
    <w:uiPriority w:val="9"/>
    <w:rsid w:val="009D59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59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D59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D59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D59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D59B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D59B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59B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59BD"/>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5F7956"/>
    <w:pPr>
      <w:numPr>
        <w:numId w:val="0"/>
      </w:numPr>
      <w:outlineLvl w:val="9"/>
    </w:pPr>
    <w:rPr>
      <w:lang w:eastAsia="ja-JP"/>
    </w:rPr>
  </w:style>
  <w:style w:type="paragraph" w:styleId="TOC1">
    <w:name w:val="toc 1"/>
    <w:basedOn w:val="Normal"/>
    <w:next w:val="Normal"/>
    <w:autoRedefine/>
    <w:uiPriority w:val="39"/>
    <w:unhideWhenUsed/>
    <w:rsid w:val="005F7956"/>
    <w:pPr>
      <w:spacing w:after="100"/>
    </w:pPr>
  </w:style>
  <w:style w:type="paragraph" w:styleId="TOC2">
    <w:name w:val="toc 2"/>
    <w:basedOn w:val="Normal"/>
    <w:next w:val="Normal"/>
    <w:autoRedefine/>
    <w:uiPriority w:val="39"/>
    <w:unhideWhenUsed/>
    <w:rsid w:val="005F7956"/>
    <w:pPr>
      <w:spacing w:after="100"/>
      <w:ind w:left="220"/>
    </w:pPr>
  </w:style>
  <w:style w:type="paragraph" w:styleId="NoSpacing">
    <w:name w:val="No Spacing"/>
    <w:link w:val="NoSpacingChar"/>
    <w:uiPriority w:val="1"/>
    <w:qFormat/>
    <w:rsid w:val="009B3ED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B3EDF"/>
    <w:rPr>
      <w:rFonts w:eastAsiaTheme="minorEastAsia"/>
      <w:lang w:eastAsia="ja-JP"/>
    </w:rPr>
  </w:style>
  <w:style w:type="character" w:styleId="PageNumber">
    <w:name w:val="page number"/>
    <w:basedOn w:val="DefaultParagraphFont"/>
    <w:uiPriority w:val="99"/>
    <w:semiHidden/>
    <w:unhideWhenUsed/>
    <w:rsid w:val="00567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93666">
      <w:bodyDiv w:val="1"/>
      <w:marLeft w:val="0"/>
      <w:marRight w:val="0"/>
      <w:marTop w:val="0"/>
      <w:marBottom w:val="0"/>
      <w:divBdr>
        <w:top w:val="none" w:sz="0" w:space="0" w:color="auto"/>
        <w:left w:val="none" w:sz="0" w:space="0" w:color="auto"/>
        <w:bottom w:val="none" w:sz="0" w:space="0" w:color="auto"/>
        <w:right w:val="none" w:sz="0" w:space="0" w:color="auto"/>
      </w:divBdr>
    </w:div>
    <w:div w:id="1115249729">
      <w:bodyDiv w:val="1"/>
      <w:marLeft w:val="0"/>
      <w:marRight w:val="0"/>
      <w:marTop w:val="0"/>
      <w:marBottom w:val="0"/>
      <w:divBdr>
        <w:top w:val="none" w:sz="0" w:space="0" w:color="auto"/>
        <w:left w:val="none" w:sz="0" w:space="0" w:color="auto"/>
        <w:bottom w:val="none" w:sz="0" w:space="0" w:color="auto"/>
        <w:right w:val="none" w:sz="0" w:space="0" w:color="auto"/>
      </w:divBdr>
    </w:div>
    <w:div w:id="169287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_1_16E9322016E92FB4004609BE43257D64" TargetMode="External"/><Relationship Id="rId18" Type="http://schemas.openxmlformats.org/officeDocument/2006/relationships/image" Target="media/image8.png"/><Relationship Id="rId26" Type="http://schemas.openxmlformats.org/officeDocument/2006/relationships/hyperlink" Target="https://www.cia.gov/library/publications/the-world-factbook/geos/ts.html" TargetMode="External"/><Relationship Id="rId39" Type="http://schemas.openxmlformats.org/officeDocument/2006/relationships/hyperlink" Target="http://www.oecd.org/dev/emea/africaneconomicoutlook2007.htm"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s://www.quandl.com/UN/DEV_POPULATIONTOTAL_EGY-Population-Total-Egypt"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www.c2es.org/federal/executive/vehicle-standards" TargetMode="External"/><Relationship Id="rId33" Type="http://schemas.openxmlformats.org/officeDocument/2006/relationships/hyperlink" Target="https://www.quandl.com/WORLDBANK/EGY_SI_POV_GINI-Egypt-Arab-Rep-GINI-index" TargetMode="External"/><Relationship Id="rId38" Type="http://schemas.openxmlformats.org/officeDocument/2006/relationships/hyperlink" Target="http://www.theglobaleconomy.com/Tunisia/gasoline_consumptio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1.xml"/><Relationship Id="rId29" Type="http://schemas.openxmlformats.org/officeDocument/2006/relationships/hyperlink" Target="http://www.unep.org/transport/gfei/autotool/nextsteps/developing_a_baseline.asp"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3.png"/><Relationship Id="rId32" Type="http://schemas.openxmlformats.org/officeDocument/2006/relationships/hyperlink" Target="http://www.meritas.org/emea_tax/march-2013-tunisia.htm" TargetMode="External"/><Relationship Id="rId37" Type="http://schemas.openxmlformats.org/officeDocument/2006/relationships/hyperlink" Target="https://www.quandl.com/WORLDBANK/TUN_SI_POV_GINI-Tunisia-GINI-index"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yperlink" Target="https://www.cia.gov/library/publications/the-world-factbook/geos/mo.html" TargetMode="External"/><Relationship Id="rId36" Type="http://schemas.openxmlformats.org/officeDocument/2006/relationships/hyperlink" Target="https://www.quandl.com/UN/DEV_POPULATIONTOTAL_MAR-Population-Total-Morocco" TargetMode="External"/><Relationship Id="rId10" Type="http://schemas.openxmlformats.org/officeDocument/2006/relationships/image" Target="cid:_1_16E9392816E936BC004609BE43257D64" TargetMode="External"/><Relationship Id="rId19" Type="http://schemas.openxmlformats.org/officeDocument/2006/relationships/image" Target="media/image9.png"/><Relationship Id="rId31" Type="http://schemas.openxmlformats.org/officeDocument/2006/relationships/hyperlink" Target="http://www.unep.org/transport/gfei/autotool/case_studies/northamerica/cs_us_0.asp"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yperlink" Target="https://www.cia.gov/library/publications/the-world-factbook/geos/mo.html" TargetMode="External"/><Relationship Id="rId30" Type="http://schemas.openxmlformats.org/officeDocument/2006/relationships/hyperlink" Target="http://www.unep.org/transport/gfei/autotool/case_studies/europe/cs_eu_0.asp" TargetMode="External"/><Relationship Id="rId35" Type="http://schemas.openxmlformats.org/officeDocument/2006/relationships/hyperlink" Target="https://www.quandl.com/WORLDBANK/MAR_SI_POV_GINI-Morocco-GINI-index" TargetMode="External"/><Relationship Id="rId43"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imo.bimo-PC\Documents\Copy%20of%20TUNISIA%202005-2012%20for%20CEDARE%20with%20diesel%20penetration%2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Average  co2 emissions  </a:t>
            </a:r>
          </a:p>
        </c:rich>
      </c:tx>
      <c:overlay val="0"/>
    </c:title>
    <c:autoTitleDeleted val="0"/>
    <c:plotArea>
      <c:layout/>
      <c:lineChart>
        <c:grouping val="standard"/>
        <c:varyColors val="0"/>
        <c:ser>
          <c:idx val="5"/>
          <c:order val="0"/>
          <c:tx>
            <c:v>Weighted average co2 emissions (Petrol)</c:v>
          </c:tx>
          <c:cat>
            <c:numRef>
              <c:f>'Fuel economy evolution'!$G$4:$J$4</c:f>
              <c:numCache>
                <c:formatCode>General</c:formatCode>
                <c:ptCount val="4"/>
                <c:pt idx="0">
                  <c:v>2005</c:v>
                </c:pt>
                <c:pt idx="1">
                  <c:v>2008</c:v>
                </c:pt>
                <c:pt idx="2">
                  <c:v>2010</c:v>
                </c:pt>
                <c:pt idx="3">
                  <c:v>2012</c:v>
                </c:pt>
              </c:numCache>
            </c:numRef>
          </c:cat>
          <c:val>
            <c:numRef>
              <c:f>'Fuel economy evolution'!$G$5:$J$5</c:f>
              <c:numCache>
                <c:formatCode>General</c:formatCode>
                <c:ptCount val="4"/>
                <c:pt idx="0">
                  <c:v>134.19005263157894</c:v>
                </c:pt>
                <c:pt idx="1">
                  <c:v>134.90576637230043</c:v>
                </c:pt>
                <c:pt idx="2">
                  <c:v>134.40103445227078</c:v>
                </c:pt>
                <c:pt idx="3">
                  <c:v>132.51641290782669</c:v>
                </c:pt>
              </c:numCache>
            </c:numRef>
          </c:val>
          <c:smooth val="0"/>
        </c:ser>
        <c:ser>
          <c:idx val="0"/>
          <c:order val="1"/>
          <c:tx>
            <c:v>Average co2 emissions (Petrol)</c:v>
          </c:tx>
          <c:dLbls>
            <c:showLegendKey val="0"/>
            <c:showVal val="1"/>
            <c:showCatName val="0"/>
            <c:showSerName val="0"/>
            <c:showPercent val="0"/>
            <c:showBubbleSize val="0"/>
            <c:showLeaderLines val="0"/>
          </c:dLbls>
          <c:cat>
            <c:numRef>
              <c:f>'Fuel economy evolution'!$G$4:$J$4</c:f>
              <c:numCache>
                <c:formatCode>General</c:formatCode>
                <c:ptCount val="4"/>
                <c:pt idx="0">
                  <c:v>2005</c:v>
                </c:pt>
                <c:pt idx="1">
                  <c:v>2008</c:v>
                </c:pt>
                <c:pt idx="2">
                  <c:v>2010</c:v>
                </c:pt>
                <c:pt idx="3">
                  <c:v>2012</c:v>
                </c:pt>
              </c:numCache>
            </c:numRef>
          </c:cat>
          <c:val>
            <c:numRef>
              <c:f>'Fuel economy evolution'!$G$6:$J$6</c:f>
              <c:numCache>
                <c:formatCode>General</c:formatCode>
                <c:ptCount val="4"/>
                <c:pt idx="0">
                  <c:v>149.60869565217391</c:v>
                </c:pt>
                <c:pt idx="1">
                  <c:v>150.06774193548389</c:v>
                </c:pt>
                <c:pt idx="2">
                  <c:v>147.29375000000002</c:v>
                </c:pt>
                <c:pt idx="3">
                  <c:v>145.56545454545454</c:v>
                </c:pt>
              </c:numCache>
            </c:numRef>
          </c:val>
          <c:smooth val="0"/>
        </c:ser>
        <c:ser>
          <c:idx val="1"/>
          <c:order val="2"/>
          <c:tx>
            <c:v>weighted average (Petrol &amp; Diesel)</c:v>
          </c:tx>
          <c:dLbls>
            <c:showLegendKey val="0"/>
            <c:showVal val="1"/>
            <c:showCatName val="0"/>
            <c:showSerName val="0"/>
            <c:showPercent val="0"/>
            <c:showBubbleSize val="0"/>
            <c:showLeaderLines val="0"/>
          </c:dLbls>
          <c:cat>
            <c:numRef>
              <c:f>'Fuel economy evolution'!$G$4:$J$4</c:f>
              <c:numCache>
                <c:formatCode>General</c:formatCode>
                <c:ptCount val="4"/>
                <c:pt idx="0">
                  <c:v>2005</c:v>
                </c:pt>
                <c:pt idx="1">
                  <c:v>2008</c:v>
                </c:pt>
                <c:pt idx="2">
                  <c:v>2010</c:v>
                </c:pt>
                <c:pt idx="3">
                  <c:v>2012</c:v>
                </c:pt>
              </c:numCache>
            </c:numRef>
          </c:cat>
          <c:val>
            <c:numRef>
              <c:f>'Fuel economy evolution'!$G$9:$J$9</c:f>
              <c:numCache>
                <c:formatCode>General</c:formatCode>
                <c:ptCount val="4"/>
                <c:pt idx="0">
                  <c:v>135.24234633147645</c:v>
                </c:pt>
                <c:pt idx="1">
                  <c:v>137.4025639650271</c:v>
                </c:pt>
                <c:pt idx="2">
                  <c:v>137.4025639650271</c:v>
                </c:pt>
                <c:pt idx="3">
                  <c:v>134.07866365801681</c:v>
                </c:pt>
              </c:numCache>
            </c:numRef>
          </c:val>
          <c:smooth val="0"/>
        </c:ser>
        <c:dLbls>
          <c:showLegendKey val="0"/>
          <c:showVal val="0"/>
          <c:showCatName val="0"/>
          <c:showSerName val="0"/>
          <c:showPercent val="0"/>
          <c:showBubbleSize val="0"/>
        </c:dLbls>
        <c:marker val="1"/>
        <c:smooth val="0"/>
        <c:axId val="173648896"/>
        <c:axId val="173654784"/>
      </c:lineChart>
      <c:catAx>
        <c:axId val="173648896"/>
        <c:scaling>
          <c:orientation val="minMax"/>
        </c:scaling>
        <c:delete val="0"/>
        <c:axPos val="b"/>
        <c:minorGridlines/>
        <c:numFmt formatCode="General" sourceLinked="1"/>
        <c:majorTickMark val="none"/>
        <c:minorTickMark val="none"/>
        <c:tickLblPos val="nextTo"/>
        <c:crossAx val="173654784"/>
        <c:crosses val="autoZero"/>
        <c:auto val="1"/>
        <c:lblAlgn val="ctr"/>
        <c:lblOffset val="100"/>
        <c:noMultiLvlLbl val="0"/>
      </c:catAx>
      <c:valAx>
        <c:axId val="173654784"/>
        <c:scaling>
          <c:orientation val="minMax"/>
          <c:max val="170"/>
          <c:min val="130"/>
        </c:scaling>
        <c:delete val="0"/>
        <c:axPos val="l"/>
        <c:majorGridlines/>
        <c:title>
          <c:tx>
            <c:rich>
              <a:bodyPr/>
              <a:lstStyle/>
              <a:p>
                <a:pPr>
                  <a:defRPr/>
                </a:pPr>
                <a:r>
                  <a:rPr lang="en-US"/>
                  <a:t>gco2/km</a:t>
                </a:r>
              </a:p>
            </c:rich>
          </c:tx>
          <c:overlay val="0"/>
        </c:title>
        <c:numFmt formatCode="General" sourceLinked="1"/>
        <c:majorTickMark val="none"/>
        <c:minorTickMark val="none"/>
        <c:tickLblPos val="nextTo"/>
        <c:crossAx val="173648896"/>
        <c:crosses val="autoZero"/>
        <c:crossBetween val="between"/>
      </c:valAx>
    </c:plotArea>
    <c:legend>
      <c:legendPos val="b"/>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9537-94FE-4EBD-B30A-19C3579E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7690</Words>
  <Characters>43839</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bimo</dc:creator>
  <cp:lastModifiedBy>bimo</cp:lastModifiedBy>
  <cp:revision>2</cp:revision>
  <dcterms:created xsi:type="dcterms:W3CDTF">2014-12-07T12:56:00Z</dcterms:created>
  <dcterms:modified xsi:type="dcterms:W3CDTF">2014-12-07T12:56:00Z</dcterms:modified>
</cp:coreProperties>
</file>